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7C03B5">
        <w:trPr>
          <w:trHeight w:val="697"/>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060A7ED2" w:rsidR="004C17CC" w:rsidRPr="001C0F02" w:rsidRDefault="006E1BC3" w:rsidP="001C0F02">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5BAFE1F4" wp14:editId="6DB51D5A">
                      <wp:simplePos x="0" y="0"/>
                      <wp:positionH relativeFrom="column">
                        <wp:posOffset>656027</wp:posOffset>
                      </wp:positionH>
                      <wp:positionV relativeFrom="paragraph">
                        <wp:posOffset>238125</wp:posOffset>
                      </wp:positionV>
                      <wp:extent cx="84495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D0DA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8.75pt" to="118.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4A040660" w:rsidR="004C17CC" w:rsidRPr="00865D75" w:rsidRDefault="006E1BC3"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177562ED" wp14:editId="2FE20633">
                      <wp:simplePos x="0" y="0"/>
                      <wp:positionH relativeFrom="column">
                        <wp:posOffset>659202</wp:posOffset>
                      </wp:positionH>
                      <wp:positionV relativeFrom="paragraph">
                        <wp:posOffset>255270</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8EDF2F"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20.1pt" to="209.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xmAEAAIgDAAAOAAAAZHJzL2Uyb0RvYy54bWysU9uO0zAQfUfaf7D8TpNWCK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7C03B5">
        <w:trPr>
          <w:trHeight w:val="566"/>
          <w:jc w:val="center"/>
        </w:trPr>
        <w:tc>
          <w:tcPr>
            <w:tcW w:w="3741" w:type="dxa"/>
          </w:tcPr>
          <w:p w14:paraId="141F8FC8" w14:textId="616C9C2E" w:rsidR="004C17CC" w:rsidRPr="001C0F02" w:rsidRDefault="00741A1D" w:rsidP="001C0F02">
            <w:pPr>
              <w:spacing w:before="180" w:after="120"/>
              <w:jc w:val="center"/>
              <w:rPr>
                <w:sz w:val="26"/>
                <w:szCs w:val="26"/>
              </w:rPr>
            </w:pPr>
            <w:r w:rsidRPr="001C0F02">
              <w:rPr>
                <w:sz w:val="26"/>
                <w:szCs w:val="26"/>
              </w:rPr>
              <w:t>Số:</w:t>
            </w:r>
            <w:r w:rsidR="00463D54">
              <w:rPr>
                <w:sz w:val="26"/>
                <w:szCs w:val="26"/>
              </w:rPr>
              <w:t xml:space="preserve">  513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65E84C1B" w:rsidR="004C17CC" w:rsidRPr="001C0F02" w:rsidRDefault="004C17CC" w:rsidP="001C0F02">
            <w:pPr>
              <w:spacing w:before="180" w:after="120"/>
              <w:jc w:val="center"/>
              <w:rPr>
                <w:i/>
                <w:iCs/>
                <w:sz w:val="26"/>
                <w:szCs w:val="26"/>
              </w:rPr>
            </w:pPr>
            <w:r w:rsidRPr="001C0F02">
              <w:rPr>
                <w:i/>
                <w:iCs/>
                <w:sz w:val="26"/>
                <w:szCs w:val="26"/>
              </w:rPr>
              <w:t>Sa Đéc, ngày</w:t>
            </w:r>
            <w:r w:rsidR="00463D54">
              <w:rPr>
                <w:i/>
                <w:iCs/>
                <w:sz w:val="26"/>
                <w:szCs w:val="26"/>
              </w:rPr>
              <w:t xml:space="preserve">  26  </w:t>
            </w:r>
            <w:r w:rsidRPr="001C0F02">
              <w:rPr>
                <w:i/>
                <w:iCs/>
                <w:sz w:val="26"/>
                <w:szCs w:val="26"/>
              </w:rPr>
              <w:t>tháng</w:t>
            </w:r>
            <w:r w:rsidR="001C0F02">
              <w:rPr>
                <w:i/>
                <w:iCs/>
                <w:sz w:val="26"/>
                <w:szCs w:val="26"/>
              </w:rPr>
              <w:t xml:space="preserve"> </w:t>
            </w:r>
            <w:r w:rsidR="00463D54">
              <w:rPr>
                <w:i/>
                <w:iCs/>
                <w:sz w:val="26"/>
                <w:szCs w:val="26"/>
              </w:rPr>
              <w:t>4</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7C03B5">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47C5D0D1" w14:textId="5A8B7A59" w:rsidR="0081754F" w:rsidRPr="002855BD" w:rsidRDefault="0081754F" w:rsidP="00B36C0C">
      <w:pPr>
        <w:spacing w:before="120" w:after="120" w:line="288" w:lineRule="auto"/>
        <w:ind w:firstLine="720"/>
        <w:jc w:val="both"/>
        <w:rPr>
          <w:color w:val="000000"/>
          <w:szCs w:val="28"/>
        </w:rPr>
      </w:pPr>
      <w:r w:rsidRPr="002855BD">
        <w:rPr>
          <w:rStyle w:val="Emphasis"/>
          <w:i w:val="0"/>
          <w:szCs w:val="28"/>
        </w:rPr>
        <w:t xml:space="preserve">Căn cứ </w:t>
      </w:r>
      <w:r w:rsidR="006B3A51" w:rsidRPr="002855BD">
        <w:rPr>
          <w:rStyle w:val="Emphasis"/>
          <w:i w:val="0"/>
          <w:szCs w:val="28"/>
        </w:rPr>
        <w:t>Thông báo</w:t>
      </w:r>
      <w:r w:rsidRPr="002855BD">
        <w:rPr>
          <w:rStyle w:val="Emphasis"/>
          <w:i w:val="0"/>
          <w:szCs w:val="28"/>
        </w:rPr>
        <w:t xml:space="preserve"> số </w:t>
      </w:r>
      <w:r w:rsidR="006B3A51" w:rsidRPr="002855BD">
        <w:rPr>
          <w:rStyle w:val="Emphasis"/>
          <w:i w:val="0"/>
          <w:szCs w:val="28"/>
        </w:rPr>
        <w:t>261</w:t>
      </w:r>
      <w:r w:rsidRPr="002855BD">
        <w:rPr>
          <w:szCs w:val="28"/>
        </w:rPr>
        <w:t>/</w:t>
      </w:r>
      <w:r w:rsidR="006B3A51" w:rsidRPr="002855BD">
        <w:rPr>
          <w:szCs w:val="28"/>
        </w:rPr>
        <w:t>TB</w:t>
      </w:r>
      <w:r w:rsidRPr="002855BD">
        <w:rPr>
          <w:szCs w:val="28"/>
        </w:rPr>
        <w:t>-</w:t>
      </w:r>
      <w:r w:rsidR="006B3A51" w:rsidRPr="002855BD">
        <w:rPr>
          <w:szCs w:val="28"/>
        </w:rPr>
        <w:t>SXD</w:t>
      </w:r>
      <w:r w:rsidRPr="002855BD">
        <w:rPr>
          <w:szCs w:val="28"/>
        </w:rPr>
        <w:t xml:space="preserve"> </w:t>
      </w:r>
      <w:r w:rsidRPr="002855BD">
        <w:rPr>
          <w:rStyle w:val="Emphasis"/>
          <w:i w:val="0"/>
          <w:szCs w:val="28"/>
        </w:rPr>
        <w:t>ngày 2</w:t>
      </w:r>
      <w:r w:rsidR="006B3A51" w:rsidRPr="002855BD">
        <w:rPr>
          <w:rStyle w:val="Emphasis"/>
          <w:i w:val="0"/>
          <w:szCs w:val="28"/>
        </w:rPr>
        <w:t>5</w:t>
      </w:r>
      <w:r w:rsidRPr="002855BD">
        <w:rPr>
          <w:rStyle w:val="Emphasis"/>
          <w:i w:val="0"/>
          <w:szCs w:val="28"/>
        </w:rPr>
        <w:t xml:space="preserve"> tháng 4 năm 2025 của Sở </w:t>
      </w:r>
      <w:r w:rsidR="006B3A51" w:rsidRPr="002855BD">
        <w:rPr>
          <w:rStyle w:val="Emphasis"/>
          <w:i w:val="0"/>
          <w:szCs w:val="28"/>
        </w:rPr>
        <w:t>Xây dựng</w:t>
      </w:r>
      <w:r w:rsidRPr="002855BD">
        <w:rPr>
          <w:rStyle w:val="Emphasis"/>
          <w:i w:val="0"/>
          <w:szCs w:val="28"/>
        </w:rPr>
        <w:t xml:space="preserve"> Đồng Tháp </w:t>
      </w:r>
      <w:r w:rsidRPr="002855BD">
        <w:rPr>
          <w:szCs w:val="28"/>
        </w:rPr>
        <w:t xml:space="preserve">về </w:t>
      </w:r>
      <w:r w:rsidR="006B3A51" w:rsidRPr="002855BD">
        <w:rPr>
          <w:szCs w:val="28"/>
        </w:rPr>
        <w:t>số điện thoại đường dây nóng để tiếp nhận các ý kiến phản ánh của người dân về công tác vận tải, tình hình trật tự ATGT trên địa bàn tỉnh Đồng Tháp trong thời gian nghỉ Lễ 30/4 -</w:t>
      </w:r>
      <w:r w:rsidR="002855BD">
        <w:rPr>
          <w:szCs w:val="28"/>
        </w:rPr>
        <w:t xml:space="preserve"> </w:t>
      </w:r>
      <w:r w:rsidR="006B3A51" w:rsidRPr="002855BD">
        <w:rPr>
          <w:szCs w:val="28"/>
        </w:rPr>
        <w:t>01/5 và cao điểm du lịch hè 2025</w:t>
      </w:r>
      <w:r w:rsidRPr="002855BD">
        <w:rPr>
          <w:color w:val="000000"/>
          <w:szCs w:val="28"/>
        </w:rPr>
        <w:t>;</w:t>
      </w:r>
    </w:p>
    <w:p w14:paraId="4A3E2AB4" w14:textId="046833F2" w:rsidR="00F778ED" w:rsidRPr="002855BD" w:rsidRDefault="00F778ED" w:rsidP="00B36C0C">
      <w:pPr>
        <w:spacing w:before="120" w:after="120" w:line="288" w:lineRule="auto"/>
        <w:ind w:firstLine="720"/>
        <w:jc w:val="both"/>
        <w:rPr>
          <w:color w:val="000000"/>
          <w:szCs w:val="28"/>
        </w:rPr>
      </w:pPr>
      <w:r w:rsidRPr="002855BD">
        <w:rPr>
          <w:rStyle w:val="Emphasis"/>
          <w:i w:val="0"/>
          <w:szCs w:val="28"/>
        </w:rPr>
        <w:t xml:space="preserve">Căn cứ Công văn số </w:t>
      </w:r>
      <w:r w:rsidR="00D9675C" w:rsidRPr="002855BD">
        <w:rPr>
          <w:rStyle w:val="Emphasis"/>
          <w:i w:val="0"/>
          <w:szCs w:val="28"/>
        </w:rPr>
        <w:t>0863</w:t>
      </w:r>
      <w:r w:rsidRPr="002855BD">
        <w:rPr>
          <w:szCs w:val="28"/>
        </w:rPr>
        <w:t xml:space="preserve">/SYT-VP </w:t>
      </w:r>
      <w:r w:rsidRPr="002855BD">
        <w:rPr>
          <w:rStyle w:val="Emphasis"/>
          <w:i w:val="0"/>
          <w:szCs w:val="28"/>
        </w:rPr>
        <w:t>ngày 2</w:t>
      </w:r>
      <w:r w:rsidR="00D9675C" w:rsidRPr="002855BD">
        <w:rPr>
          <w:rStyle w:val="Emphasis"/>
          <w:i w:val="0"/>
          <w:szCs w:val="28"/>
        </w:rPr>
        <w:t>5</w:t>
      </w:r>
      <w:r w:rsidRPr="002855BD">
        <w:rPr>
          <w:rStyle w:val="Emphasis"/>
          <w:i w:val="0"/>
          <w:szCs w:val="28"/>
        </w:rPr>
        <w:t xml:space="preserve"> tháng 4 năm 2025 của Sở Y tế Đồng Tháp </w:t>
      </w:r>
      <w:r w:rsidRPr="002855BD">
        <w:rPr>
          <w:szCs w:val="28"/>
        </w:rPr>
        <w:t xml:space="preserve">về việc </w:t>
      </w:r>
      <w:r w:rsidR="00D9675C" w:rsidRPr="002855BD">
        <w:rPr>
          <w:rFonts w:eastAsia="Arial"/>
          <w:szCs w:val="28"/>
        </w:rPr>
        <w:t>triển khai Quyết định số 406/QĐ-UBND-HC ngày 24</w:t>
      </w:r>
      <w:r w:rsidR="002855BD">
        <w:rPr>
          <w:rFonts w:eastAsia="Arial"/>
          <w:szCs w:val="28"/>
        </w:rPr>
        <w:t xml:space="preserve"> tháng 4 năm </w:t>
      </w:r>
      <w:r w:rsidR="00D9675C" w:rsidRPr="002855BD">
        <w:rPr>
          <w:rFonts w:eastAsia="Arial"/>
          <w:szCs w:val="28"/>
        </w:rPr>
        <w:t xml:space="preserve">2025 của </w:t>
      </w:r>
      <w:r w:rsidR="002855BD">
        <w:rPr>
          <w:rFonts w:eastAsia="Arial"/>
          <w:szCs w:val="28"/>
        </w:rPr>
        <w:t>Ủy ban nhân dân</w:t>
      </w:r>
      <w:r w:rsidR="00D9675C" w:rsidRPr="002855BD">
        <w:rPr>
          <w:rFonts w:eastAsia="Arial"/>
          <w:szCs w:val="28"/>
        </w:rPr>
        <w:t xml:space="preserve"> Tỉnh</w:t>
      </w:r>
      <w:r w:rsidRPr="002855BD">
        <w:rPr>
          <w:color w:val="000000"/>
          <w:szCs w:val="28"/>
        </w:rPr>
        <w:t>;</w:t>
      </w:r>
      <w:r w:rsidR="00D9675C" w:rsidRPr="002855BD">
        <w:rPr>
          <w:color w:val="000000"/>
          <w:szCs w:val="28"/>
        </w:rPr>
        <w:t xml:space="preserve"> </w:t>
      </w:r>
    </w:p>
    <w:p w14:paraId="5E21457A" w14:textId="32D830C5" w:rsidR="00295D7F" w:rsidRPr="002855BD" w:rsidRDefault="00295D7F" w:rsidP="00B36C0C">
      <w:pPr>
        <w:spacing w:before="120" w:after="120" w:line="288" w:lineRule="auto"/>
        <w:ind w:firstLine="720"/>
        <w:jc w:val="both"/>
        <w:rPr>
          <w:color w:val="000000"/>
          <w:szCs w:val="28"/>
        </w:rPr>
      </w:pPr>
      <w:r w:rsidRPr="002855BD">
        <w:rPr>
          <w:rStyle w:val="Emphasis"/>
          <w:i w:val="0"/>
          <w:szCs w:val="28"/>
        </w:rPr>
        <w:t>Căn cứ Công văn số 0780</w:t>
      </w:r>
      <w:r w:rsidRPr="002855BD">
        <w:rPr>
          <w:szCs w:val="28"/>
        </w:rPr>
        <w:t xml:space="preserve">/SYT-VP </w:t>
      </w:r>
      <w:r w:rsidRPr="002855BD">
        <w:rPr>
          <w:rStyle w:val="Emphasis"/>
          <w:i w:val="0"/>
          <w:szCs w:val="28"/>
        </w:rPr>
        <w:t xml:space="preserve">ngày 22 tháng 4 năm 2025 của Sở Y tế Đồng Tháp </w:t>
      </w:r>
      <w:r w:rsidRPr="002855BD">
        <w:rPr>
          <w:szCs w:val="28"/>
        </w:rPr>
        <w:t>về việc triển khai Quyết định số 398/QĐ-UBND-HC ngày 21</w:t>
      </w:r>
      <w:r w:rsidR="002855BD">
        <w:rPr>
          <w:szCs w:val="28"/>
        </w:rPr>
        <w:t xml:space="preserve"> tháng </w:t>
      </w:r>
      <w:r w:rsidRPr="002855BD">
        <w:rPr>
          <w:szCs w:val="28"/>
        </w:rPr>
        <w:t>4</w:t>
      </w:r>
      <w:r w:rsidR="002855BD">
        <w:rPr>
          <w:szCs w:val="28"/>
        </w:rPr>
        <w:t xml:space="preserve"> năm </w:t>
      </w:r>
      <w:r w:rsidRPr="002855BD">
        <w:rPr>
          <w:szCs w:val="28"/>
        </w:rPr>
        <w:t xml:space="preserve">2025 của </w:t>
      </w:r>
      <w:r w:rsidR="002855BD">
        <w:rPr>
          <w:szCs w:val="28"/>
        </w:rPr>
        <w:t>Ủy ban nhân dân</w:t>
      </w:r>
      <w:r w:rsidRPr="002855BD">
        <w:rPr>
          <w:szCs w:val="28"/>
        </w:rPr>
        <w:t xml:space="preserve"> Tỉnh</w:t>
      </w:r>
      <w:r w:rsidRPr="002855BD">
        <w:rPr>
          <w:color w:val="000000"/>
          <w:szCs w:val="28"/>
        </w:rPr>
        <w:t xml:space="preserve">; </w:t>
      </w:r>
    </w:p>
    <w:p w14:paraId="284ECB70" w14:textId="08E98BD7" w:rsidR="000A42C9" w:rsidRPr="002855BD" w:rsidRDefault="000A42C9" w:rsidP="00B36C0C">
      <w:pPr>
        <w:spacing w:before="120" w:after="120" w:line="288" w:lineRule="auto"/>
        <w:ind w:firstLine="720"/>
        <w:jc w:val="both"/>
        <w:rPr>
          <w:color w:val="000000"/>
          <w:spacing w:val="6"/>
          <w:szCs w:val="28"/>
        </w:rPr>
      </w:pPr>
      <w:r w:rsidRPr="002855BD">
        <w:rPr>
          <w:rStyle w:val="Emphasis"/>
          <w:i w:val="0"/>
          <w:spacing w:val="6"/>
          <w:szCs w:val="28"/>
        </w:rPr>
        <w:t>Căn cứ Công văn số 0767</w:t>
      </w:r>
      <w:r w:rsidRPr="002855BD">
        <w:rPr>
          <w:spacing w:val="6"/>
          <w:szCs w:val="28"/>
        </w:rPr>
        <w:t xml:space="preserve">/SYT-VP </w:t>
      </w:r>
      <w:r w:rsidRPr="002855BD">
        <w:rPr>
          <w:rStyle w:val="Emphasis"/>
          <w:i w:val="0"/>
          <w:spacing w:val="6"/>
          <w:szCs w:val="28"/>
        </w:rPr>
        <w:t xml:space="preserve">ngày 21 tháng 4 năm 2025 của Sở Y tế Đồng Tháp </w:t>
      </w:r>
      <w:r w:rsidRPr="002855BD">
        <w:rPr>
          <w:spacing w:val="6"/>
          <w:szCs w:val="28"/>
        </w:rPr>
        <w:t>về việc chỉnh lý, số hoá tài liệu trước khi sắp xếp đơn vị hành chính</w:t>
      </w:r>
      <w:r w:rsidRPr="002855BD">
        <w:rPr>
          <w:color w:val="000000"/>
          <w:spacing w:val="6"/>
          <w:szCs w:val="28"/>
        </w:rPr>
        <w:t xml:space="preserve">; </w:t>
      </w:r>
    </w:p>
    <w:p w14:paraId="55F76EC5" w14:textId="61476A03" w:rsidR="000A1BBE" w:rsidRPr="002855BD" w:rsidRDefault="000A1BBE" w:rsidP="00B36C0C">
      <w:pPr>
        <w:spacing w:before="120" w:after="120" w:line="288" w:lineRule="auto"/>
        <w:ind w:firstLine="720"/>
        <w:jc w:val="both"/>
        <w:rPr>
          <w:color w:val="000000"/>
          <w:szCs w:val="28"/>
        </w:rPr>
      </w:pPr>
      <w:r w:rsidRPr="002855BD">
        <w:rPr>
          <w:rStyle w:val="Emphasis"/>
          <w:i w:val="0"/>
          <w:szCs w:val="28"/>
        </w:rPr>
        <w:t>Căn cứ Công văn số 0629</w:t>
      </w:r>
      <w:r w:rsidRPr="002855BD">
        <w:rPr>
          <w:szCs w:val="28"/>
        </w:rPr>
        <w:t xml:space="preserve">/SYT-VP </w:t>
      </w:r>
      <w:r w:rsidRPr="002855BD">
        <w:rPr>
          <w:rStyle w:val="Emphasis"/>
          <w:i w:val="0"/>
          <w:szCs w:val="28"/>
        </w:rPr>
        <w:t xml:space="preserve">ngày 15 tháng 4 năm 2025 của Sở Y tế Đồng Tháp </w:t>
      </w:r>
      <w:r w:rsidRPr="002855BD">
        <w:rPr>
          <w:szCs w:val="28"/>
        </w:rPr>
        <w:t>về việc triển khai Điều tra, khảo sát tình hình thi hành pháp luật trong lĩnh vực trọng tâm, liên ngành năm 2025 trên địa bàn tỉnh Đồng Tháp</w:t>
      </w:r>
      <w:r w:rsidRPr="002855BD">
        <w:rPr>
          <w:color w:val="000000"/>
          <w:szCs w:val="28"/>
        </w:rPr>
        <w:t xml:space="preserve">; </w:t>
      </w:r>
    </w:p>
    <w:p w14:paraId="05A63D4D" w14:textId="09FA5964" w:rsidR="007A7AB4" w:rsidRPr="002855BD" w:rsidRDefault="007A7AB4" w:rsidP="00B36C0C">
      <w:pPr>
        <w:spacing w:before="120" w:after="120" w:line="288" w:lineRule="auto"/>
        <w:ind w:firstLine="720"/>
        <w:jc w:val="both"/>
        <w:rPr>
          <w:color w:val="000000"/>
          <w:szCs w:val="28"/>
        </w:rPr>
      </w:pPr>
      <w:r w:rsidRPr="002855BD">
        <w:rPr>
          <w:rStyle w:val="Emphasis"/>
          <w:i w:val="0"/>
          <w:szCs w:val="28"/>
        </w:rPr>
        <w:t>Căn cứ Công văn số 0584</w:t>
      </w:r>
      <w:r w:rsidRPr="002855BD">
        <w:rPr>
          <w:szCs w:val="28"/>
        </w:rPr>
        <w:t xml:space="preserve">/SYT-VP </w:t>
      </w:r>
      <w:r w:rsidRPr="002855BD">
        <w:rPr>
          <w:rStyle w:val="Emphasis"/>
          <w:i w:val="0"/>
          <w:szCs w:val="28"/>
        </w:rPr>
        <w:t xml:space="preserve">ngày 11 tháng 4 năm 2025 của Sở Y tế Đồng Tháp </w:t>
      </w:r>
      <w:r w:rsidRPr="002855BD">
        <w:rPr>
          <w:szCs w:val="28"/>
        </w:rPr>
        <w:t>về việc triển khai thực hiện số hóa tài liệu trong quá trình sắp xếp tổ chức bộ máy của hệ thống chính trị</w:t>
      </w:r>
      <w:r w:rsidRPr="002855BD">
        <w:rPr>
          <w:color w:val="000000"/>
          <w:szCs w:val="28"/>
        </w:rPr>
        <w:t xml:space="preserve">; </w:t>
      </w:r>
    </w:p>
    <w:p w14:paraId="60057419" w14:textId="23B306BA" w:rsidR="0006146D" w:rsidRPr="002855BD" w:rsidRDefault="0006146D" w:rsidP="00B36C0C">
      <w:pPr>
        <w:spacing w:before="120" w:after="120" w:line="288" w:lineRule="auto"/>
        <w:ind w:firstLine="720"/>
        <w:jc w:val="both"/>
        <w:rPr>
          <w:color w:val="000000"/>
          <w:szCs w:val="28"/>
        </w:rPr>
      </w:pPr>
      <w:r w:rsidRPr="002855BD">
        <w:rPr>
          <w:rStyle w:val="Emphasis"/>
          <w:i w:val="0"/>
          <w:szCs w:val="28"/>
        </w:rPr>
        <w:t>Căn cứ Công văn số 0576</w:t>
      </w:r>
      <w:r w:rsidRPr="002855BD">
        <w:rPr>
          <w:szCs w:val="28"/>
        </w:rPr>
        <w:t xml:space="preserve">/SYT-VP </w:t>
      </w:r>
      <w:r w:rsidRPr="002855BD">
        <w:rPr>
          <w:rStyle w:val="Emphasis"/>
          <w:i w:val="0"/>
          <w:szCs w:val="28"/>
        </w:rPr>
        <w:t xml:space="preserve">ngày 11 tháng 4 năm 2025 của Sở Y tế Đồng Tháp </w:t>
      </w:r>
      <w:r w:rsidRPr="002855BD">
        <w:rPr>
          <w:szCs w:val="28"/>
        </w:rPr>
        <w:t xml:space="preserve">về việc </w:t>
      </w:r>
      <w:r w:rsidRPr="002855BD">
        <w:rPr>
          <w:color w:val="000000"/>
          <w:szCs w:val="28"/>
          <w:lang w:eastAsia="zh-CN"/>
        </w:rPr>
        <w:t>tiếp tục thực hiện các giải pháp cải thiện điểm số, thứ hạng Chỉ số cải thiện các quy định của pháp luật năm 2025</w:t>
      </w:r>
      <w:r w:rsidRPr="002855BD">
        <w:rPr>
          <w:color w:val="000000"/>
          <w:szCs w:val="28"/>
        </w:rPr>
        <w:t xml:space="preserve">; </w:t>
      </w:r>
    </w:p>
    <w:p w14:paraId="61F049C8" w14:textId="19448BEA" w:rsidR="00B46357" w:rsidRPr="002855BD" w:rsidRDefault="00B46357" w:rsidP="00B36C0C">
      <w:pPr>
        <w:spacing w:before="120" w:after="120" w:line="288" w:lineRule="auto"/>
        <w:ind w:firstLine="720"/>
        <w:jc w:val="both"/>
        <w:rPr>
          <w:color w:val="000000"/>
          <w:szCs w:val="28"/>
        </w:rPr>
      </w:pPr>
      <w:r w:rsidRPr="002855BD">
        <w:rPr>
          <w:rStyle w:val="Emphasis"/>
          <w:i w:val="0"/>
          <w:szCs w:val="28"/>
        </w:rPr>
        <w:t>Căn cứ Công văn số 0547</w:t>
      </w:r>
      <w:r w:rsidRPr="002855BD">
        <w:rPr>
          <w:szCs w:val="28"/>
        </w:rPr>
        <w:t xml:space="preserve">/SYT-VP </w:t>
      </w:r>
      <w:r w:rsidRPr="002855BD">
        <w:rPr>
          <w:rStyle w:val="Emphasis"/>
          <w:i w:val="0"/>
          <w:szCs w:val="28"/>
        </w:rPr>
        <w:t xml:space="preserve">ngày 09 tháng 4 năm 2025 của Sở Y tế Đồng Tháp </w:t>
      </w:r>
      <w:r w:rsidRPr="002855BD">
        <w:rPr>
          <w:szCs w:val="28"/>
        </w:rPr>
        <w:t xml:space="preserve">về việc triển khai thực hiện các Nghị quyết thông qua tại kỳ họp đột xuất thứ mười ba, </w:t>
      </w:r>
      <w:r w:rsidR="002855BD">
        <w:rPr>
          <w:szCs w:val="28"/>
        </w:rPr>
        <w:t>Hội đồng nhân dân</w:t>
      </w:r>
      <w:r w:rsidRPr="002855BD">
        <w:rPr>
          <w:szCs w:val="28"/>
        </w:rPr>
        <w:t xml:space="preserve"> Tỉnh khóa X</w:t>
      </w:r>
      <w:r w:rsidRPr="002855BD">
        <w:rPr>
          <w:color w:val="000000"/>
          <w:szCs w:val="28"/>
        </w:rPr>
        <w:t xml:space="preserve">; </w:t>
      </w:r>
    </w:p>
    <w:p w14:paraId="0D484CA6" w14:textId="3BD33D42" w:rsidR="00BA35CE" w:rsidRPr="002855BD" w:rsidRDefault="00463D54" w:rsidP="00B36C0C">
      <w:pPr>
        <w:spacing w:before="120" w:after="120" w:line="288" w:lineRule="auto"/>
        <w:ind w:firstLine="720"/>
        <w:jc w:val="both"/>
        <w:rPr>
          <w:szCs w:val="28"/>
        </w:rPr>
      </w:pPr>
      <w:r w:rsidRPr="002855BD">
        <w:rPr>
          <w:rStyle w:val="Emphasis"/>
          <w:i w:val="0"/>
          <w:szCs w:val="28"/>
        </w:rPr>
        <w:lastRenderedPageBreak/>
        <w:t>Căn cứ Công văn số 0533</w:t>
      </w:r>
      <w:r w:rsidRPr="002855BD">
        <w:rPr>
          <w:szCs w:val="28"/>
        </w:rPr>
        <w:t xml:space="preserve">/SYT-VP </w:t>
      </w:r>
      <w:r w:rsidRPr="002855BD">
        <w:rPr>
          <w:rStyle w:val="Emphasis"/>
          <w:i w:val="0"/>
          <w:szCs w:val="28"/>
        </w:rPr>
        <w:t xml:space="preserve">ngày 09 tháng 4 năm 2025 của Sở Y tế Đồng Tháp </w:t>
      </w:r>
      <w:r w:rsidRPr="002855BD">
        <w:rPr>
          <w:szCs w:val="28"/>
        </w:rPr>
        <w:t>về việc triển khai thực hiện Nghị quyết số 66/NQ-CP ngày 26 tháng 3 năm 2025 của Chính phủ</w:t>
      </w:r>
      <w:r w:rsidR="002855BD">
        <w:rPr>
          <w:color w:val="000000"/>
          <w:szCs w:val="28"/>
        </w:rPr>
        <w:t>.</w:t>
      </w:r>
      <w:r w:rsidR="00237277" w:rsidRPr="002855BD">
        <w:rPr>
          <w:color w:val="000000"/>
          <w:szCs w:val="28"/>
        </w:rPr>
        <w:t xml:space="preserve"> </w:t>
      </w:r>
      <w:r w:rsidR="00BA35CE" w:rsidRPr="002855BD">
        <w:rPr>
          <w:color w:val="000000"/>
          <w:szCs w:val="28"/>
        </w:rPr>
        <w:t xml:space="preserve"> </w:t>
      </w:r>
    </w:p>
    <w:p w14:paraId="5E4EC030" w14:textId="6EDF1DFA" w:rsidR="00A260A2" w:rsidRPr="002855BD" w:rsidRDefault="005E5CD6" w:rsidP="00B36C0C">
      <w:pPr>
        <w:spacing w:before="120" w:after="120" w:line="288" w:lineRule="auto"/>
        <w:ind w:firstLine="720"/>
        <w:jc w:val="both"/>
        <w:rPr>
          <w:i/>
          <w:szCs w:val="28"/>
          <w:lang w:val="nl-NL"/>
        </w:rPr>
      </w:pPr>
      <w:r w:rsidRPr="002855BD">
        <w:rPr>
          <w:szCs w:val="28"/>
        </w:rPr>
        <w:t xml:space="preserve">Bệnh viện Đa khoa Sa Đéc </w:t>
      </w:r>
      <w:r w:rsidRPr="002855BD">
        <w:rPr>
          <w:szCs w:val="28"/>
          <w:lang w:val="nl-NL"/>
        </w:rPr>
        <w:t xml:space="preserve">đề nghị </w:t>
      </w:r>
      <w:r w:rsidRPr="002855BD">
        <w:rPr>
          <w:szCs w:val="28"/>
        </w:rPr>
        <w:t xml:space="preserve">lãnh đạo các khoa, phòng </w:t>
      </w:r>
      <w:r w:rsidRPr="002855BD">
        <w:rPr>
          <w:szCs w:val="28"/>
          <w:lang w:val="nl-NL"/>
        </w:rPr>
        <w:t xml:space="preserve">nghiên cứu, phối hợp triển khai các văn bản, như sau </w:t>
      </w:r>
      <w:r w:rsidRPr="002855BD">
        <w:rPr>
          <w:i/>
          <w:szCs w:val="28"/>
          <w:lang w:val="nl-NL"/>
        </w:rPr>
        <w:t>(</w:t>
      </w:r>
      <w:r w:rsidR="009E5108" w:rsidRPr="002855BD">
        <w:rPr>
          <w:i/>
          <w:szCs w:val="28"/>
          <w:lang w:val="nl-NL"/>
        </w:rPr>
        <w:t>đ</w:t>
      </w:r>
      <w:r w:rsidRPr="002855BD">
        <w:rPr>
          <w:i/>
          <w:szCs w:val="28"/>
          <w:lang w:val="nl-NL"/>
        </w:rPr>
        <w:t>ính kèm)</w:t>
      </w:r>
      <w:r w:rsidR="009E5108" w:rsidRPr="002855BD">
        <w:rPr>
          <w:i/>
          <w:szCs w:val="28"/>
          <w:lang w:val="nl-NL"/>
        </w:rPr>
        <w:t>:</w:t>
      </w:r>
      <w:r w:rsidR="00DB0D75" w:rsidRPr="002855BD">
        <w:rPr>
          <w:szCs w:val="28"/>
        </w:rPr>
        <w:t xml:space="preserve"> </w:t>
      </w:r>
      <w:r w:rsidR="009016AA" w:rsidRPr="002855BD">
        <w:rPr>
          <w:szCs w:val="28"/>
        </w:rPr>
        <w:t xml:space="preserve"> </w:t>
      </w:r>
      <w:r w:rsidR="0000518F" w:rsidRPr="002855BD">
        <w:rPr>
          <w:szCs w:val="28"/>
        </w:rPr>
        <w:t xml:space="preserve"> </w:t>
      </w:r>
      <w:r w:rsidR="008960F4" w:rsidRPr="002855BD">
        <w:rPr>
          <w:szCs w:val="28"/>
        </w:rPr>
        <w:t xml:space="preserve"> </w:t>
      </w:r>
    </w:p>
    <w:p w14:paraId="280F7B8E" w14:textId="31E1E7DE" w:rsidR="006B3A51" w:rsidRPr="002855BD" w:rsidRDefault="006B3A51" w:rsidP="00B36C0C">
      <w:pPr>
        <w:spacing w:before="120" w:after="120" w:line="288" w:lineRule="auto"/>
        <w:ind w:firstLine="720"/>
        <w:jc w:val="both"/>
        <w:rPr>
          <w:szCs w:val="28"/>
        </w:rPr>
      </w:pPr>
      <w:r w:rsidRPr="002855BD">
        <w:rPr>
          <w:szCs w:val="28"/>
        </w:rPr>
        <w:t xml:space="preserve">- </w:t>
      </w:r>
      <w:r w:rsidRPr="002855BD">
        <w:rPr>
          <w:rStyle w:val="Emphasis"/>
          <w:i w:val="0"/>
          <w:szCs w:val="28"/>
        </w:rPr>
        <w:t>Thông báo số 261</w:t>
      </w:r>
      <w:r w:rsidRPr="002855BD">
        <w:rPr>
          <w:szCs w:val="28"/>
        </w:rPr>
        <w:t xml:space="preserve">/TB-SXD </w:t>
      </w:r>
      <w:r w:rsidRPr="002855BD">
        <w:rPr>
          <w:rStyle w:val="Emphasis"/>
          <w:i w:val="0"/>
          <w:szCs w:val="28"/>
        </w:rPr>
        <w:t xml:space="preserve">ngày 25 tháng 4 năm 2025 của Sở Xây dựng Đồng Tháp </w:t>
      </w:r>
      <w:r w:rsidRPr="002855BD">
        <w:rPr>
          <w:szCs w:val="28"/>
        </w:rPr>
        <w:t>về số điện thoại đường dây nóng để tiếp nhận các ý kiến phản ánh của người dân về công tác vận tải, tình hình trật tự ATGT trên địa bàn tỉnh Đồng Tháp trong thời gian nghỉ Lễ 30/4 -</w:t>
      </w:r>
      <w:r w:rsidR="002855BD">
        <w:rPr>
          <w:szCs w:val="28"/>
        </w:rPr>
        <w:t xml:space="preserve"> </w:t>
      </w:r>
      <w:r w:rsidRPr="002855BD">
        <w:rPr>
          <w:szCs w:val="28"/>
        </w:rPr>
        <w:t>01/5 và cao điểm du lịch hè 2025</w:t>
      </w:r>
      <w:r w:rsidR="00295D7F" w:rsidRPr="002855BD">
        <w:rPr>
          <w:szCs w:val="28"/>
        </w:rPr>
        <w:t>;</w:t>
      </w:r>
    </w:p>
    <w:p w14:paraId="28FC4B5A" w14:textId="4823E4D1" w:rsidR="00295D7F" w:rsidRPr="002855BD" w:rsidRDefault="00295D7F" w:rsidP="00B36C0C">
      <w:pPr>
        <w:spacing w:before="120" w:after="120" w:line="288" w:lineRule="auto"/>
        <w:ind w:firstLine="720"/>
        <w:jc w:val="both"/>
        <w:rPr>
          <w:szCs w:val="28"/>
        </w:rPr>
      </w:pPr>
      <w:r w:rsidRPr="002855BD">
        <w:rPr>
          <w:szCs w:val="28"/>
        </w:rPr>
        <w:t>- Quyết định số 406/QĐ-UBND-HC ngày 24</w:t>
      </w:r>
      <w:r w:rsidR="002855BD">
        <w:rPr>
          <w:szCs w:val="28"/>
        </w:rPr>
        <w:t xml:space="preserve"> tháng </w:t>
      </w:r>
      <w:r w:rsidRPr="002855BD">
        <w:rPr>
          <w:szCs w:val="28"/>
        </w:rPr>
        <w:t>4</w:t>
      </w:r>
      <w:r w:rsidR="002855BD">
        <w:rPr>
          <w:szCs w:val="28"/>
        </w:rPr>
        <w:t xml:space="preserve"> năm </w:t>
      </w:r>
      <w:r w:rsidRPr="002855BD">
        <w:rPr>
          <w:szCs w:val="28"/>
        </w:rPr>
        <w:t xml:space="preserve">2025 của </w:t>
      </w:r>
      <w:r w:rsidR="002855BD">
        <w:rPr>
          <w:szCs w:val="28"/>
        </w:rPr>
        <w:t>Ủy ban nhân dân</w:t>
      </w:r>
      <w:r w:rsidRPr="002855BD">
        <w:rPr>
          <w:szCs w:val="28"/>
        </w:rPr>
        <w:t xml:space="preserve"> tỉnh Đồng Tháp về việc công bố Danh mục thủ tục hành chính (TTHC) và phê duyệt Quy trình nội bộ giải quyết TTHC lĩnh vực giáo dục và đào tạo thuộc thẩm quyền giải quyết cấp tỉnh;</w:t>
      </w:r>
    </w:p>
    <w:p w14:paraId="218BDBB5" w14:textId="4AB62B9B" w:rsidR="00612E17" w:rsidRPr="002855BD" w:rsidRDefault="00612E17" w:rsidP="00B36C0C">
      <w:pPr>
        <w:spacing w:before="120" w:after="120" w:line="288" w:lineRule="auto"/>
        <w:ind w:firstLine="720"/>
        <w:jc w:val="both"/>
        <w:rPr>
          <w:szCs w:val="28"/>
        </w:rPr>
      </w:pPr>
      <w:r w:rsidRPr="002855BD">
        <w:rPr>
          <w:szCs w:val="28"/>
        </w:rPr>
        <w:t>- Quyết định số 398/QĐ-UBND-HC ngày 21</w:t>
      </w:r>
      <w:r w:rsidR="002855BD">
        <w:rPr>
          <w:szCs w:val="28"/>
        </w:rPr>
        <w:t xml:space="preserve"> tháng </w:t>
      </w:r>
      <w:r w:rsidRPr="002855BD">
        <w:rPr>
          <w:szCs w:val="28"/>
        </w:rPr>
        <w:t>4</w:t>
      </w:r>
      <w:r w:rsidR="002855BD">
        <w:rPr>
          <w:szCs w:val="28"/>
        </w:rPr>
        <w:t xml:space="preserve"> năm </w:t>
      </w:r>
      <w:r w:rsidRPr="002855BD">
        <w:rPr>
          <w:szCs w:val="28"/>
        </w:rPr>
        <w:t xml:space="preserve">2025 của </w:t>
      </w:r>
      <w:r w:rsidR="002855BD">
        <w:rPr>
          <w:szCs w:val="28"/>
        </w:rPr>
        <w:t>Ủy ban nhân dân</w:t>
      </w:r>
      <w:r w:rsidRPr="002855BD">
        <w:rPr>
          <w:szCs w:val="28"/>
        </w:rPr>
        <w:t xml:space="preserve"> tỉnh Đồng Tháp về việc công bố Danh mục thủ tục hành chính (TTHC) và Quy trình nội bộ giải quyết TTHC lĩnh vực tín ngưỡng, tôn giáo thuộc thẩm quyền giải quyết của Ủy ban nhân dân Tỉnh, Sở Nội vụ, Ủy ban nhân dân cấp huyện, Ủy ban nhân dân cấp xã trên địa bàn tỉnh Đồng Tháp;</w:t>
      </w:r>
      <w:r w:rsidR="002855BD">
        <w:rPr>
          <w:szCs w:val="28"/>
        </w:rPr>
        <w:t xml:space="preserve"> </w:t>
      </w:r>
    </w:p>
    <w:p w14:paraId="4F49F4C3" w14:textId="6D574F0D" w:rsidR="000A42C9" w:rsidRPr="002855BD" w:rsidRDefault="000A42C9" w:rsidP="00B36C0C">
      <w:pPr>
        <w:spacing w:before="120" w:after="120" w:line="288" w:lineRule="auto"/>
        <w:ind w:firstLine="720"/>
        <w:jc w:val="both"/>
        <w:rPr>
          <w:color w:val="000000"/>
          <w:szCs w:val="28"/>
          <w:lang w:val="nb-NO" w:eastAsia="vi-VN"/>
        </w:rPr>
      </w:pPr>
      <w:r w:rsidRPr="002855BD">
        <w:rPr>
          <w:szCs w:val="28"/>
        </w:rPr>
        <w:t xml:space="preserve">- </w:t>
      </w:r>
      <w:r w:rsidRPr="002855BD">
        <w:rPr>
          <w:color w:val="000000"/>
          <w:szCs w:val="28"/>
          <w:lang w:val="nb-NO" w:eastAsia="vi-VN"/>
        </w:rPr>
        <w:t>Công văn số 64-CV/TW ngày 10</w:t>
      </w:r>
      <w:r w:rsidR="00B36C0C">
        <w:rPr>
          <w:color w:val="000000"/>
          <w:szCs w:val="28"/>
          <w:lang w:val="nb-NO" w:eastAsia="vi-VN"/>
        </w:rPr>
        <w:t xml:space="preserve"> tháng 4 năm </w:t>
      </w:r>
      <w:r w:rsidRPr="002855BD">
        <w:rPr>
          <w:color w:val="000000"/>
          <w:szCs w:val="28"/>
          <w:lang w:val="nb-NO" w:eastAsia="vi-VN"/>
        </w:rPr>
        <w:t>2025 về lưu trữ và quản lý tài liệu, cơ sở dữ liệu tài liệu trong quá trình sắp xếp, tổ chức bộ máy của hệ thống chính trị và đơn vị hành chính; Công văn số 14204-CV/VPTW ngày 09</w:t>
      </w:r>
      <w:r w:rsidR="00B36C0C">
        <w:rPr>
          <w:color w:val="000000"/>
          <w:szCs w:val="28"/>
          <w:lang w:val="nb-NO" w:eastAsia="vi-VN"/>
        </w:rPr>
        <w:t xml:space="preserve"> tháng 4 năm </w:t>
      </w:r>
      <w:r w:rsidRPr="002855BD">
        <w:rPr>
          <w:color w:val="000000"/>
          <w:szCs w:val="28"/>
          <w:lang w:val="nb-NO" w:eastAsia="vi-VN"/>
        </w:rPr>
        <w:t>2025 hướng dẫn một số nội dung về số hoá tài liệu khi sắp xếp đơn vị hành chính; nhất là chủ trương hoàn thành việc số hoá tài liệu của các cơ quan, tổ chức trước khi sắp xếp đơn vị hành chính cấp huyện, cấp xã trước ngày 30</w:t>
      </w:r>
      <w:r w:rsidR="00B36C0C">
        <w:rPr>
          <w:color w:val="000000"/>
          <w:szCs w:val="28"/>
          <w:lang w:val="nb-NO" w:eastAsia="vi-VN"/>
        </w:rPr>
        <w:t xml:space="preserve"> tháng 6 năm </w:t>
      </w:r>
      <w:r w:rsidRPr="002855BD">
        <w:rPr>
          <w:color w:val="000000"/>
          <w:szCs w:val="28"/>
          <w:lang w:val="nb-NO" w:eastAsia="vi-VN"/>
        </w:rPr>
        <w:t>2025, cấp tỉnh trước ngày 15</w:t>
      </w:r>
      <w:r w:rsidR="00B36C0C">
        <w:rPr>
          <w:color w:val="000000"/>
          <w:szCs w:val="28"/>
          <w:lang w:val="nb-NO" w:eastAsia="vi-VN"/>
        </w:rPr>
        <w:t xml:space="preserve"> tháng 8 năm </w:t>
      </w:r>
      <w:r w:rsidRPr="002855BD">
        <w:rPr>
          <w:color w:val="000000"/>
          <w:szCs w:val="28"/>
          <w:lang w:val="nb-NO" w:eastAsia="vi-VN"/>
        </w:rPr>
        <w:t>2025;</w:t>
      </w:r>
    </w:p>
    <w:p w14:paraId="28D5CCB4" w14:textId="5F8952C8" w:rsidR="007A7AB4" w:rsidRPr="00B36C0C" w:rsidRDefault="007A7AB4" w:rsidP="00B36C0C">
      <w:pPr>
        <w:spacing w:before="120" w:after="120" w:line="288" w:lineRule="auto"/>
        <w:ind w:firstLine="720"/>
        <w:jc w:val="both"/>
        <w:rPr>
          <w:spacing w:val="6"/>
          <w:szCs w:val="28"/>
        </w:rPr>
      </w:pPr>
      <w:r w:rsidRPr="00B36C0C">
        <w:rPr>
          <w:spacing w:val="6"/>
          <w:szCs w:val="28"/>
        </w:rPr>
        <w:t>- Kế hoạch</w:t>
      </w:r>
      <w:r w:rsidR="00B36C0C" w:rsidRPr="00B36C0C">
        <w:rPr>
          <w:spacing w:val="6"/>
          <w:szCs w:val="28"/>
        </w:rPr>
        <w:t xml:space="preserve"> số </w:t>
      </w:r>
      <w:r w:rsidRPr="00B36C0C">
        <w:rPr>
          <w:spacing w:val="6"/>
          <w:szCs w:val="28"/>
        </w:rPr>
        <w:t>141/KH-UBND ngày 08 tháng 4 năm 2025 của Ủy ban nhân dân tỉnh Đồng Tháp về việc triển khai Điều tra, khảo sát tình hình thi hành pháp luật trong lĩnh vực trọng tâm, liên ngành năm 2025 trên địa bàn tỉnh Đồng Tháp;</w:t>
      </w:r>
    </w:p>
    <w:p w14:paraId="29C914E2" w14:textId="23197525" w:rsidR="0006146D" w:rsidRPr="002855BD" w:rsidRDefault="0006146D" w:rsidP="00B36C0C">
      <w:pPr>
        <w:spacing w:before="120" w:after="120" w:line="288" w:lineRule="auto"/>
        <w:ind w:firstLine="720"/>
        <w:jc w:val="both"/>
        <w:rPr>
          <w:szCs w:val="28"/>
        </w:rPr>
      </w:pPr>
      <w:r w:rsidRPr="002855BD">
        <w:rPr>
          <w:szCs w:val="28"/>
        </w:rPr>
        <w:t>- Công văn số 560/SNV-CCLT ngày 10 tháng 4 năm 2025 của Sở Nội vụ tỉnh Đồng Tháp về việc triển khai thực hiện số hóa tài liệu trong quá trình sắp xếp tổ chức bộ máy của hệ thống chính trị;</w:t>
      </w:r>
    </w:p>
    <w:p w14:paraId="5BF92733" w14:textId="498829FB" w:rsidR="00B46357" w:rsidRPr="002855BD" w:rsidRDefault="00B46357" w:rsidP="00B36C0C">
      <w:pPr>
        <w:spacing w:before="120" w:after="120" w:line="288" w:lineRule="auto"/>
        <w:ind w:firstLine="720"/>
        <w:jc w:val="both"/>
        <w:rPr>
          <w:szCs w:val="28"/>
        </w:rPr>
      </w:pPr>
      <w:r w:rsidRPr="002855BD">
        <w:rPr>
          <w:szCs w:val="28"/>
        </w:rPr>
        <w:t xml:space="preserve">- Nghị quyết số 27-NQ/TW ngày 09 tháng 11 năm 2022 của Ban chấp hành Trung ương về tiếp tục xây dựng và hoàn thiện Nhà nước pháp quyền xã hội chủ nghĩa Việt Nam trong giai đoạn mới và Kế hoạch số 11/KH-TW ngày </w:t>
      </w:r>
      <w:r w:rsidRPr="002855BD">
        <w:rPr>
          <w:szCs w:val="28"/>
        </w:rPr>
        <w:lastRenderedPageBreak/>
        <w:t>28 tháng 11 năm 2022 của Bộ Chính trị thực hiện Nghị quyết số 27-NQ/TW; Nghị quyết số 77/NQ-CP ngày 12 tháng 5 năm 2023 của Chính phủ;</w:t>
      </w:r>
      <w:r w:rsidR="00FE139B">
        <w:rPr>
          <w:szCs w:val="28"/>
        </w:rPr>
        <w:t xml:space="preserve"> </w:t>
      </w:r>
      <w:r w:rsidRPr="002855BD">
        <w:rPr>
          <w:szCs w:val="28"/>
        </w:rPr>
        <w:t>Chương trình số 54-CTr/TU ngày 19 tháng 4 năm 2023 của Ban Chấp hành Đảng bộ tỉnh khoá XI về thực hiện Nghị quyết số 27-NQ/TW của Ban Chấp hành Trung ương Đảng khoá XIII về tiếp tục xây dựng và hoàn thiện Nhà nước pháp quyền xã hội chủ nghĩa Việt Nam trong giai đoạn mới;</w:t>
      </w:r>
    </w:p>
    <w:p w14:paraId="4267251E" w14:textId="1C7E86FD" w:rsidR="00463D54" w:rsidRPr="00B36C0C" w:rsidRDefault="00463D54" w:rsidP="00B36C0C">
      <w:pPr>
        <w:widowControl w:val="0"/>
        <w:spacing w:before="120" w:after="120" w:line="288" w:lineRule="auto"/>
        <w:ind w:firstLine="720"/>
        <w:jc w:val="both"/>
        <w:rPr>
          <w:spacing w:val="4"/>
          <w:szCs w:val="28"/>
        </w:rPr>
      </w:pPr>
      <w:r w:rsidRPr="00B36C0C">
        <w:rPr>
          <w:spacing w:val="4"/>
          <w:szCs w:val="28"/>
        </w:rPr>
        <w:t xml:space="preserve">- Công văn số 120/VPUBND-THTT ngày 08 tháng 4 năm 2025 của Văn phòng Ủy ban nhân dân tỉnh Đồng Tháp về việc triển khai thực hiện các Nghị quyết thông qua tại kỳ họp đột xuất thứ mười ba, </w:t>
      </w:r>
      <w:r w:rsidR="00B36C0C" w:rsidRPr="00B36C0C">
        <w:rPr>
          <w:spacing w:val="4"/>
          <w:szCs w:val="28"/>
        </w:rPr>
        <w:t>Hội đồng nhân dân</w:t>
      </w:r>
      <w:r w:rsidRPr="00B36C0C">
        <w:rPr>
          <w:spacing w:val="4"/>
          <w:szCs w:val="28"/>
        </w:rPr>
        <w:t xml:space="preserve"> Tỉnh khóa X;</w:t>
      </w:r>
    </w:p>
    <w:p w14:paraId="48AE23DC" w14:textId="388789AE" w:rsidR="00C65E6A" w:rsidRPr="002855BD" w:rsidRDefault="00463D54" w:rsidP="00B36C0C">
      <w:pPr>
        <w:widowControl w:val="0"/>
        <w:spacing w:before="120" w:after="120" w:line="288" w:lineRule="auto"/>
        <w:ind w:firstLine="720"/>
        <w:jc w:val="both"/>
        <w:rPr>
          <w:szCs w:val="28"/>
        </w:rPr>
      </w:pPr>
      <w:r w:rsidRPr="002855BD">
        <w:rPr>
          <w:szCs w:val="28"/>
        </w:rPr>
        <w:t>- Công văn số 15/UBND-HCC ngày 03 tháng 4 năm 2025 của Ủy ban nhân dân tỉnh Đồng Tháp về việc triển khai thực hiện Nghị quyết số 66/NQ-CP ngày 26 tháng 3 năm 2025 của Chính phủ;</w:t>
      </w:r>
    </w:p>
    <w:p w14:paraId="36425FB4" w14:textId="389C36C9" w:rsidR="00A8584D" w:rsidRPr="002855BD" w:rsidRDefault="004C17CC" w:rsidP="00B36C0C">
      <w:pPr>
        <w:widowControl w:val="0"/>
        <w:spacing w:before="120" w:after="120" w:line="288" w:lineRule="auto"/>
        <w:ind w:firstLine="720"/>
        <w:jc w:val="both"/>
        <w:rPr>
          <w:rStyle w:val="Emphasis"/>
          <w:i w:val="0"/>
          <w:szCs w:val="28"/>
        </w:rPr>
      </w:pPr>
      <w:r w:rsidRPr="002855BD">
        <w:rPr>
          <w:szCs w:val="28"/>
        </w:rPr>
        <w:t>Bệnh viện Đa kh</w:t>
      </w:r>
      <w:r w:rsidR="00741A1D" w:rsidRPr="002855BD">
        <w:rPr>
          <w:szCs w:val="28"/>
        </w:rPr>
        <w:t>oa Sa Đéc đề nghị lãnh đạo các k</w:t>
      </w:r>
      <w:r w:rsidRPr="002855BD">
        <w:rPr>
          <w:szCs w:val="28"/>
        </w:rPr>
        <w:t xml:space="preserve">hoa, phòng </w:t>
      </w:r>
      <w:r w:rsidR="004C0EFE" w:rsidRPr="002855BD">
        <w:rPr>
          <w:szCs w:val="28"/>
        </w:rPr>
        <w:t xml:space="preserve">triển khai </w:t>
      </w:r>
      <w:r w:rsidR="005E5CD6" w:rsidRPr="002855BD">
        <w:rPr>
          <w:szCs w:val="28"/>
          <w:lang w:val="nl-NL"/>
        </w:rPr>
        <w:t>các văn bản nêu trên</w:t>
      </w:r>
      <w:r w:rsidR="005E5CD6" w:rsidRPr="002855BD">
        <w:rPr>
          <w:szCs w:val="28"/>
          <w:lang w:val="fr-FR"/>
        </w:rPr>
        <w:t xml:space="preserve"> </w:t>
      </w:r>
      <w:r w:rsidR="00A40B01" w:rsidRPr="002855BD">
        <w:rPr>
          <w:szCs w:val="28"/>
          <w:lang w:val="fr-FR"/>
        </w:rPr>
        <w:t xml:space="preserve">đến viên chức và người lao động </w:t>
      </w:r>
      <w:r w:rsidR="005E5CD6" w:rsidRPr="002855BD">
        <w:rPr>
          <w:szCs w:val="28"/>
          <w:lang w:val="nl-NL"/>
        </w:rPr>
        <w:t>có liên quan nghiên cứu, tham mưu theo nhiệm vụ được giao</w:t>
      </w:r>
      <w:r w:rsidR="003061CE" w:rsidRPr="002855BD">
        <w:rPr>
          <w:rStyle w:val="Emphasis"/>
          <w:i w:val="0"/>
          <w:szCs w:val="28"/>
        </w:rPr>
        <w:t>.</w:t>
      </w:r>
      <w:r w:rsidR="00726026" w:rsidRPr="002855BD">
        <w:rPr>
          <w:rStyle w:val="Emphasis"/>
          <w:i w:val="0"/>
          <w:szCs w:val="28"/>
        </w:rPr>
        <w:t xml:space="preserve"> </w:t>
      </w:r>
    </w:p>
    <w:p w14:paraId="0156DF4F" w14:textId="77777777" w:rsidR="004C17CC" w:rsidRPr="00A96347" w:rsidRDefault="008966CA" w:rsidP="00B36C0C">
      <w:pPr>
        <w:pStyle w:val="Default"/>
        <w:spacing w:before="120" w:after="120" w:line="288" w:lineRule="auto"/>
        <w:ind w:firstLine="720"/>
        <w:jc w:val="both"/>
        <w:rPr>
          <w:sz w:val="28"/>
          <w:szCs w:val="28"/>
        </w:rPr>
      </w:pPr>
      <w:r w:rsidRPr="002855BD">
        <w:rPr>
          <w:sz w:val="28"/>
          <w:szCs w:val="28"/>
        </w:rPr>
        <w:t xml:space="preserve">Đề nghị </w:t>
      </w:r>
      <w:r w:rsidRPr="002855BD">
        <w:rPr>
          <w:sz w:val="28"/>
          <w:szCs w:val="28"/>
          <w:lang w:val="en-US"/>
        </w:rPr>
        <w:t>t</w:t>
      </w:r>
      <w:r w:rsidR="004C17CC" w:rsidRPr="002855BD">
        <w:rPr>
          <w:sz w:val="28"/>
          <w:szCs w:val="28"/>
        </w:rPr>
        <w:t>rưởng</w:t>
      </w:r>
      <w:r w:rsidR="004C17CC" w:rsidRPr="002855BD">
        <w:rPr>
          <w:sz w:val="28"/>
          <w:szCs w:val="28"/>
          <w:lang w:val="en-US"/>
        </w:rPr>
        <w:t xml:space="preserve"> các</w:t>
      </w:r>
      <w:r w:rsidR="00984A5E" w:rsidRPr="002855BD">
        <w:rPr>
          <w:sz w:val="28"/>
          <w:szCs w:val="28"/>
        </w:rPr>
        <w:t xml:space="preserve"> </w:t>
      </w:r>
      <w:r w:rsidR="007979C4" w:rsidRPr="002855BD">
        <w:rPr>
          <w:sz w:val="28"/>
          <w:szCs w:val="28"/>
          <w:lang w:val="en-US"/>
        </w:rPr>
        <w:t>k</w:t>
      </w:r>
      <w:r w:rsidR="004C17CC" w:rsidRPr="002855BD">
        <w:rPr>
          <w:sz w:val="28"/>
          <w:szCs w:val="28"/>
        </w:rPr>
        <w:t xml:space="preserve">hoa, phòng thực hiện </w:t>
      </w:r>
      <w:r w:rsidR="004C17CC" w:rsidRPr="002855BD">
        <w:rPr>
          <w:sz w:val="28"/>
          <w:szCs w:val="28"/>
          <w:lang w:val="en-US"/>
        </w:rPr>
        <w:t xml:space="preserve">tốt </w:t>
      </w:r>
      <w:r w:rsidR="004C17CC" w:rsidRPr="002855BD">
        <w:rPr>
          <w:sz w:val="28"/>
          <w:szCs w:val="28"/>
        </w:rPr>
        <w:t>tinh thần Công văn này./.</w:t>
      </w:r>
    </w:p>
    <w:p w14:paraId="7CC19291" w14:textId="77777777" w:rsidR="004C17CC" w:rsidRPr="006E1BC3" w:rsidRDefault="004C17CC" w:rsidP="006E1BC3">
      <w:pPr>
        <w:pStyle w:val="Default"/>
        <w:spacing w:before="120" w:after="80"/>
        <w:jc w:val="both"/>
        <w:rPr>
          <w:sz w:val="14"/>
          <w:szCs w:val="28"/>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D7ACFD9" w:rsidR="004C17CC" w:rsidRPr="005A11F6" w:rsidRDefault="004C17CC" w:rsidP="002D3D57">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Default="004C17CC" w:rsidP="00227498">
            <w:pPr>
              <w:jc w:val="center"/>
              <w:rPr>
                <w:b/>
                <w:sz w:val="40"/>
              </w:rPr>
            </w:pPr>
          </w:p>
          <w:p w14:paraId="0A889C94" w14:textId="77777777" w:rsidR="00306C6A" w:rsidRPr="006E1BC3" w:rsidRDefault="00306C6A" w:rsidP="00227498">
            <w:pPr>
              <w:jc w:val="center"/>
              <w:rPr>
                <w:b/>
                <w:sz w:val="64"/>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AD2B" w14:textId="77777777" w:rsidR="008B4799" w:rsidRDefault="008B4799">
      <w:r>
        <w:separator/>
      </w:r>
    </w:p>
  </w:endnote>
  <w:endnote w:type="continuationSeparator" w:id="0">
    <w:p w14:paraId="2657563D" w14:textId="77777777" w:rsidR="008B4799" w:rsidRDefault="008B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DD00" w14:textId="77777777" w:rsidR="008B4799" w:rsidRDefault="008B4799">
      <w:r>
        <w:separator/>
      </w:r>
    </w:p>
  </w:footnote>
  <w:footnote w:type="continuationSeparator" w:id="0">
    <w:p w14:paraId="57EF5895" w14:textId="77777777" w:rsidR="008B4799" w:rsidRDefault="008B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B36C0C">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21834"/>
    <w:rsid w:val="00025FB6"/>
    <w:rsid w:val="000603CC"/>
    <w:rsid w:val="0006146D"/>
    <w:rsid w:val="00064F07"/>
    <w:rsid w:val="00072D24"/>
    <w:rsid w:val="00083785"/>
    <w:rsid w:val="00087549"/>
    <w:rsid w:val="000A1BBE"/>
    <w:rsid w:val="000A42C9"/>
    <w:rsid w:val="000D07F3"/>
    <w:rsid w:val="000F30E8"/>
    <w:rsid w:val="00147823"/>
    <w:rsid w:val="00147C8A"/>
    <w:rsid w:val="00162CEE"/>
    <w:rsid w:val="001657DB"/>
    <w:rsid w:val="001702EB"/>
    <w:rsid w:val="001811EF"/>
    <w:rsid w:val="00185B31"/>
    <w:rsid w:val="00194403"/>
    <w:rsid w:val="001A18D6"/>
    <w:rsid w:val="001B17E2"/>
    <w:rsid w:val="001C0F02"/>
    <w:rsid w:val="001C250B"/>
    <w:rsid w:val="001C5F16"/>
    <w:rsid w:val="001D3CD6"/>
    <w:rsid w:val="002075C6"/>
    <w:rsid w:val="00212418"/>
    <w:rsid w:val="0022795D"/>
    <w:rsid w:val="00236F34"/>
    <w:rsid w:val="00237277"/>
    <w:rsid w:val="002663E9"/>
    <w:rsid w:val="00277C8E"/>
    <w:rsid w:val="002855BD"/>
    <w:rsid w:val="00286328"/>
    <w:rsid w:val="00295D7F"/>
    <w:rsid w:val="002C4250"/>
    <w:rsid w:val="002D3D57"/>
    <w:rsid w:val="002F6573"/>
    <w:rsid w:val="003061CE"/>
    <w:rsid w:val="00306C6A"/>
    <w:rsid w:val="0031433E"/>
    <w:rsid w:val="0034299D"/>
    <w:rsid w:val="003607AA"/>
    <w:rsid w:val="00362B5C"/>
    <w:rsid w:val="00371A2F"/>
    <w:rsid w:val="003778CF"/>
    <w:rsid w:val="00391561"/>
    <w:rsid w:val="003A504A"/>
    <w:rsid w:val="003C55A5"/>
    <w:rsid w:val="003E16CB"/>
    <w:rsid w:val="003F1C30"/>
    <w:rsid w:val="0040403A"/>
    <w:rsid w:val="0040504A"/>
    <w:rsid w:val="0041042F"/>
    <w:rsid w:val="004269B0"/>
    <w:rsid w:val="004419D3"/>
    <w:rsid w:val="004568D2"/>
    <w:rsid w:val="00463D54"/>
    <w:rsid w:val="0048130B"/>
    <w:rsid w:val="004A7559"/>
    <w:rsid w:val="004A7729"/>
    <w:rsid w:val="004B1BC0"/>
    <w:rsid w:val="004B5305"/>
    <w:rsid w:val="004C0E82"/>
    <w:rsid w:val="004C0EFE"/>
    <w:rsid w:val="004C17CC"/>
    <w:rsid w:val="004E45EA"/>
    <w:rsid w:val="005079F8"/>
    <w:rsid w:val="00530FF6"/>
    <w:rsid w:val="00531050"/>
    <w:rsid w:val="00531572"/>
    <w:rsid w:val="00543051"/>
    <w:rsid w:val="00547358"/>
    <w:rsid w:val="005673E6"/>
    <w:rsid w:val="0059164D"/>
    <w:rsid w:val="005927C7"/>
    <w:rsid w:val="00596C58"/>
    <w:rsid w:val="005A11F6"/>
    <w:rsid w:val="005A6FC7"/>
    <w:rsid w:val="005C11E7"/>
    <w:rsid w:val="005E2D43"/>
    <w:rsid w:val="005E5CD6"/>
    <w:rsid w:val="005F2715"/>
    <w:rsid w:val="005F5937"/>
    <w:rsid w:val="00605A39"/>
    <w:rsid w:val="0061127B"/>
    <w:rsid w:val="00612E17"/>
    <w:rsid w:val="00614420"/>
    <w:rsid w:val="00616090"/>
    <w:rsid w:val="00620B51"/>
    <w:rsid w:val="0063172F"/>
    <w:rsid w:val="006317F7"/>
    <w:rsid w:val="00642555"/>
    <w:rsid w:val="00651576"/>
    <w:rsid w:val="0065374C"/>
    <w:rsid w:val="00656A21"/>
    <w:rsid w:val="006960EB"/>
    <w:rsid w:val="006A0E99"/>
    <w:rsid w:val="006A265B"/>
    <w:rsid w:val="006B300D"/>
    <w:rsid w:val="006B3A51"/>
    <w:rsid w:val="006D2C56"/>
    <w:rsid w:val="006D576D"/>
    <w:rsid w:val="006E1BC3"/>
    <w:rsid w:val="006F2410"/>
    <w:rsid w:val="00705F76"/>
    <w:rsid w:val="00716206"/>
    <w:rsid w:val="00716CCB"/>
    <w:rsid w:val="00724F16"/>
    <w:rsid w:val="00726026"/>
    <w:rsid w:val="0073268B"/>
    <w:rsid w:val="00733A48"/>
    <w:rsid w:val="0073742F"/>
    <w:rsid w:val="00741A1D"/>
    <w:rsid w:val="00770A20"/>
    <w:rsid w:val="00785CC7"/>
    <w:rsid w:val="007979C4"/>
    <w:rsid w:val="007A35A8"/>
    <w:rsid w:val="007A68D7"/>
    <w:rsid w:val="007A7AB4"/>
    <w:rsid w:val="007C03B5"/>
    <w:rsid w:val="007E2E5B"/>
    <w:rsid w:val="007F0CD9"/>
    <w:rsid w:val="007F5C3B"/>
    <w:rsid w:val="007F63E4"/>
    <w:rsid w:val="00804893"/>
    <w:rsid w:val="0081754F"/>
    <w:rsid w:val="008241BC"/>
    <w:rsid w:val="00841AAA"/>
    <w:rsid w:val="00864DFB"/>
    <w:rsid w:val="00886CA1"/>
    <w:rsid w:val="008960F4"/>
    <w:rsid w:val="008966CA"/>
    <w:rsid w:val="008A38AC"/>
    <w:rsid w:val="008A7DB0"/>
    <w:rsid w:val="008B221D"/>
    <w:rsid w:val="008B33ED"/>
    <w:rsid w:val="008B4799"/>
    <w:rsid w:val="008C0C89"/>
    <w:rsid w:val="008D03B5"/>
    <w:rsid w:val="008E71F8"/>
    <w:rsid w:val="008F358A"/>
    <w:rsid w:val="008F7F37"/>
    <w:rsid w:val="009016AA"/>
    <w:rsid w:val="009131D7"/>
    <w:rsid w:val="009228FC"/>
    <w:rsid w:val="00923872"/>
    <w:rsid w:val="009270FE"/>
    <w:rsid w:val="00931349"/>
    <w:rsid w:val="009369E5"/>
    <w:rsid w:val="00946DFC"/>
    <w:rsid w:val="009540B9"/>
    <w:rsid w:val="00960C73"/>
    <w:rsid w:val="00964D63"/>
    <w:rsid w:val="0096749D"/>
    <w:rsid w:val="0096754B"/>
    <w:rsid w:val="00984A5E"/>
    <w:rsid w:val="00993E90"/>
    <w:rsid w:val="009A53BF"/>
    <w:rsid w:val="009B2DB3"/>
    <w:rsid w:val="009B445B"/>
    <w:rsid w:val="009C3425"/>
    <w:rsid w:val="009E5108"/>
    <w:rsid w:val="00A0457C"/>
    <w:rsid w:val="00A11B1F"/>
    <w:rsid w:val="00A260A2"/>
    <w:rsid w:val="00A40B01"/>
    <w:rsid w:val="00A46CC0"/>
    <w:rsid w:val="00A83B51"/>
    <w:rsid w:val="00A84B26"/>
    <w:rsid w:val="00A8584D"/>
    <w:rsid w:val="00A9013F"/>
    <w:rsid w:val="00A96347"/>
    <w:rsid w:val="00AA222F"/>
    <w:rsid w:val="00AA31D9"/>
    <w:rsid w:val="00AA538E"/>
    <w:rsid w:val="00AA7A94"/>
    <w:rsid w:val="00AB270A"/>
    <w:rsid w:val="00AC0908"/>
    <w:rsid w:val="00AC3D65"/>
    <w:rsid w:val="00AC5123"/>
    <w:rsid w:val="00AE048C"/>
    <w:rsid w:val="00AF4850"/>
    <w:rsid w:val="00B17608"/>
    <w:rsid w:val="00B20638"/>
    <w:rsid w:val="00B211E9"/>
    <w:rsid w:val="00B27760"/>
    <w:rsid w:val="00B36C0C"/>
    <w:rsid w:val="00B40C5B"/>
    <w:rsid w:val="00B414E4"/>
    <w:rsid w:val="00B46357"/>
    <w:rsid w:val="00B71399"/>
    <w:rsid w:val="00B75C01"/>
    <w:rsid w:val="00B77F0C"/>
    <w:rsid w:val="00BA35CE"/>
    <w:rsid w:val="00BD2384"/>
    <w:rsid w:val="00BE60E6"/>
    <w:rsid w:val="00BF191C"/>
    <w:rsid w:val="00BF3F74"/>
    <w:rsid w:val="00C03C4F"/>
    <w:rsid w:val="00C06899"/>
    <w:rsid w:val="00C16309"/>
    <w:rsid w:val="00C32469"/>
    <w:rsid w:val="00C343B9"/>
    <w:rsid w:val="00C53F19"/>
    <w:rsid w:val="00C6212D"/>
    <w:rsid w:val="00C63ACD"/>
    <w:rsid w:val="00C65E6A"/>
    <w:rsid w:val="00C8261A"/>
    <w:rsid w:val="00C87619"/>
    <w:rsid w:val="00CA1D84"/>
    <w:rsid w:val="00CD6C72"/>
    <w:rsid w:val="00D01BE6"/>
    <w:rsid w:val="00D059D2"/>
    <w:rsid w:val="00D10061"/>
    <w:rsid w:val="00D12CC2"/>
    <w:rsid w:val="00D225B6"/>
    <w:rsid w:val="00D31E2C"/>
    <w:rsid w:val="00D74A15"/>
    <w:rsid w:val="00D8145A"/>
    <w:rsid w:val="00D9675C"/>
    <w:rsid w:val="00DA4F0E"/>
    <w:rsid w:val="00DB0D75"/>
    <w:rsid w:val="00DC3237"/>
    <w:rsid w:val="00DC577A"/>
    <w:rsid w:val="00DE5D56"/>
    <w:rsid w:val="00DF04E6"/>
    <w:rsid w:val="00DF74EE"/>
    <w:rsid w:val="00E00BE6"/>
    <w:rsid w:val="00E0353C"/>
    <w:rsid w:val="00E25BE0"/>
    <w:rsid w:val="00E73DC7"/>
    <w:rsid w:val="00E94C31"/>
    <w:rsid w:val="00EA0017"/>
    <w:rsid w:val="00EA01B3"/>
    <w:rsid w:val="00EA4435"/>
    <w:rsid w:val="00ED3098"/>
    <w:rsid w:val="00F02FDD"/>
    <w:rsid w:val="00F03EF8"/>
    <w:rsid w:val="00F16BBC"/>
    <w:rsid w:val="00F319BD"/>
    <w:rsid w:val="00F4470C"/>
    <w:rsid w:val="00F47AE7"/>
    <w:rsid w:val="00F6319E"/>
    <w:rsid w:val="00F65106"/>
    <w:rsid w:val="00F778ED"/>
    <w:rsid w:val="00F854F9"/>
    <w:rsid w:val="00FA3F80"/>
    <w:rsid w:val="00FA5EBC"/>
    <w:rsid w:val="00FD749A"/>
    <w:rsid w:val="00FE139B"/>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C3BA9559-9D68-409F-B2BE-86887ECB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274</cp:revision>
  <dcterms:created xsi:type="dcterms:W3CDTF">2021-04-23T07:08:00Z</dcterms:created>
  <dcterms:modified xsi:type="dcterms:W3CDTF">2025-05-07T03:06:00Z</dcterms:modified>
</cp:coreProperties>
</file>