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F51A86" w:rsidTr="00725D86">
        <w:trPr>
          <w:trHeight w:val="841"/>
        </w:trPr>
        <w:tc>
          <w:tcPr>
            <w:tcW w:w="4503" w:type="dxa"/>
            <w:shd w:val="clear" w:color="auto" w:fill="auto"/>
          </w:tcPr>
          <w:p w:rsidR="008B3222" w:rsidRPr="00F51A86" w:rsidRDefault="007A4AFE" w:rsidP="009059A9">
            <w:pPr>
              <w:pStyle w:val="Heading5"/>
              <w:tabs>
                <w:tab w:val="center" w:pos="1680"/>
                <w:tab w:val="center" w:pos="6240"/>
              </w:tabs>
              <w:jc w:val="both"/>
              <w:rPr>
                <w:szCs w:val="28"/>
              </w:rPr>
            </w:pPr>
            <w:r w:rsidRPr="00F51A86">
              <w:rPr>
                <w:szCs w:val="28"/>
              </w:rPr>
              <w:t xml:space="preserve"> </w:t>
            </w:r>
            <w:r w:rsidR="008B3222" w:rsidRPr="00F51A86">
              <w:rPr>
                <w:szCs w:val="28"/>
              </w:rPr>
              <w:t>HỘI ĐỒNG THUỐC VÀ ĐIỀU TRỊ</w:t>
            </w:r>
          </w:p>
          <w:p w:rsidR="008B3222" w:rsidRPr="00F51A86" w:rsidRDefault="008B3222" w:rsidP="009059A9">
            <w:pPr>
              <w:spacing w:after="0" w:line="240" w:lineRule="auto"/>
              <w:jc w:val="both"/>
              <w:rPr>
                <w:rFonts w:ascii="Times New Roman" w:hAnsi="Times New Roman" w:cs="Times New Roman"/>
                <w:b/>
                <w:sz w:val="28"/>
                <w:szCs w:val="28"/>
              </w:rPr>
            </w:pPr>
            <w:r w:rsidRPr="00F51A86">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66AEE4D2" wp14:editId="5E8D4632">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F51A86">
              <w:rPr>
                <w:rFonts w:ascii="Times New Roman" w:hAnsi="Times New Roman" w:cs="Times New Roman"/>
                <w:b/>
                <w:spacing w:val="-10"/>
                <w:sz w:val="28"/>
                <w:szCs w:val="28"/>
                <w:lang w:val="vi-VN"/>
              </w:rPr>
              <w:t xml:space="preserve">ĐƠN VỊ </w:t>
            </w:r>
            <w:r w:rsidRPr="00F51A86">
              <w:rPr>
                <w:rFonts w:ascii="Times New Roman" w:hAnsi="Times New Roman" w:cs="Times New Roman"/>
                <w:b/>
                <w:spacing w:val="-10"/>
                <w:sz w:val="28"/>
                <w:szCs w:val="28"/>
              </w:rPr>
              <w:t>THÔNG TIN THUỐC</w:t>
            </w:r>
          </w:p>
        </w:tc>
        <w:tc>
          <w:tcPr>
            <w:tcW w:w="5953" w:type="dxa"/>
            <w:shd w:val="clear" w:color="auto" w:fill="auto"/>
          </w:tcPr>
          <w:p w:rsidR="008B3222" w:rsidRPr="00F51A86" w:rsidRDefault="008B3222" w:rsidP="009059A9">
            <w:pPr>
              <w:pStyle w:val="Heading5"/>
              <w:tabs>
                <w:tab w:val="center" w:pos="1680"/>
                <w:tab w:val="center" w:pos="6240"/>
              </w:tabs>
              <w:jc w:val="both"/>
              <w:rPr>
                <w:b/>
                <w:spacing w:val="-10"/>
                <w:szCs w:val="28"/>
              </w:rPr>
            </w:pPr>
            <w:r w:rsidRPr="00F51A86">
              <w:rPr>
                <w:b/>
                <w:spacing w:val="-10"/>
                <w:szCs w:val="28"/>
              </w:rPr>
              <w:t>CỘNG HÒA XÃ HỘI CHỦ NGHĨA VIỆT NAM</w:t>
            </w:r>
          </w:p>
          <w:p w:rsidR="008B3222" w:rsidRPr="00F51A86" w:rsidRDefault="008B3222" w:rsidP="009059A9">
            <w:pPr>
              <w:pStyle w:val="Heading5"/>
              <w:tabs>
                <w:tab w:val="center" w:pos="1680"/>
                <w:tab w:val="center" w:pos="6240"/>
              </w:tabs>
              <w:jc w:val="both"/>
              <w:rPr>
                <w:b/>
                <w:spacing w:val="-10"/>
                <w:szCs w:val="28"/>
              </w:rPr>
            </w:pPr>
            <w:r w:rsidRPr="00F51A86">
              <w:rPr>
                <w:b/>
                <w:noProof/>
                <w:spacing w:val="-10"/>
                <w:szCs w:val="28"/>
              </w:rPr>
              <mc:AlternateContent>
                <mc:Choice Requires="wps">
                  <w:drawing>
                    <wp:anchor distT="4294967295" distB="4294967295" distL="114300" distR="114300" simplePos="0" relativeHeight="251660288" behindDoc="0" locked="0" layoutInCell="1" allowOverlap="1" wp14:anchorId="585DE2E9" wp14:editId="24D6ED52">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F51A86">
              <w:rPr>
                <w:b/>
                <w:spacing w:val="-10"/>
                <w:szCs w:val="28"/>
                <w:lang w:val="vi-VN"/>
              </w:rPr>
              <w:t xml:space="preserve">                </w:t>
            </w:r>
            <w:r w:rsidRPr="00F51A86">
              <w:rPr>
                <w:b/>
                <w:spacing w:val="-10"/>
                <w:szCs w:val="28"/>
              </w:rPr>
              <w:t>Độc lập - Tự do - Hạnh phúc</w:t>
            </w:r>
          </w:p>
        </w:tc>
      </w:tr>
      <w:tr w:rsidR="00F51A86" w:rsidRPr="00F51A86" w:rsidTr="00725D86">
        <w:tc>
          <w:tcPr>
            <w:tcW w:w="4503" w:type="dxa"/>
            <w:shd w:val="clear" w:color="auto" w:fill="auto"/>
          </w:tcPr>
          <w:p w:rsidR="004F1270" w:rsidRPr="00F51A86" w:rsidRDefault="004F1270" w:rsidP="009059A9">
            <w:pPr>
              <w:spacing w:after="0" w:line="240" w:lineRule="auto"/>
              <w:jc w:val="both"/>
              <w:rPr>
                <w:rFonts w:ascii="Times New Roman" w:hAnsi="Times New Roman" w:cs="Times New Roman"/>
                <w:sz w:val="28"/>
                <w:szCs w:val="28"/>
              </w:rPr>
            </w:pPr>
          </w:p>
        </w:tc>
        <w:tc>
          <w:tcPr>
            <w:tcW w:w="5953" w:type="dxa"/>
            <w:shd w:val="clear" w:color="auto" w:fill="auto"/>
          </w:tcPr>
          <w:p w:rsidR="008B3222" w:rsidRPr="00F51A86" w:rsidRDefault="008B3222" w:rsidP="009059A9">
            <w:pPr>
              <w:pStyle w:val="Heading5"/>
              <w:tabs>
                <w:tab w:val="center" w:pos="1680"/>
                <w:tab w:val="center" w:pos="6240"/>
              </w:tabs>
              <w:jc w:val="both"/>
              <w:rPr>
                <w:spacing w:val="-10"/>
                <w:szCs w:val="28"/>
              </w:rPr>
            </w:pPr>
          </w:p>
        </w:tc>
      </w:tr>
    </w:tbl>
    <w:p w:rsidR="00033F01" w:rsidRPr="00033F01" w:rsidRDefault="00CF000F" w:rsidP="009059A9">
      <w:pPr>
        <w:spacing w:after="0" w:line="240" w:lineRule="auto"/>
        <w:jc w:val="both"/>
        <w:rPr>
          <w:rFonts w:ascii="Times New Roman" w:hAnsi="Times New Roman" w:cs="Times New Roman"/>
          <w:b/>
          <w:sz w:val="28"/>
          <w:szCs w:val="28"/>
        </w:rPr>
      </w:pPr>
      <w:r w:rsidRPr="00F51A86">
        <w:rPr>
          <w:rFonts w:ascii="Times New Roman" w:hAnsi="Times New Roman" w:cs="Times New Roman"/>
          <w:b/>
          <w:sz w:val="28"/>
          <w:szCs w:val="28"/>
        </w:rPr>
        <w:t xml:space="preserve">                    </w:t>
      </w:r>
      <w:r w:rsidR="00964C01" w:rsidRPr="00F51A86">
        <w:rPr>
          <w:rFonts w:ascii="Times New Roman" w:hAnsi="Times New Roman" w:cs="Times New Roman"/>
          <w:b/>
          <w:sz w:val="28"/>
          <w:szCs w:val="28"/>
        </w:rPr>
        <w:t xml:space="preserve">        </w:t>
      </w:r>
      <w:r w:rsidR="008B3222" w:rsidRPr="00F51A86">
        <w:rPr>
          <w:rFonts w:ascii="Times New Roman" w:hAnsi="Times New Roman" w:cs="Times New Roman"/>
          <w:b/>
          <w:sz w:val="28"/>
          <w:szCs w:val="28"/>
          <w:lang w:val="vi-VN"/>
        </w:rPr>
        <w:t xml:space="preserve">BẢNG TIN </w:t>
      </w:r>
      <w:r w:rsidR="008B3222" w:rsidRPr="00F51A86">
        <w:rPr>
          <w:rFonts w:ascii="Times New Roman" w:hAnsi="Times New Roman" w:cs="Times New Roman"/>
          <w:b/>
          <w:sz w:val="28"/>
          <w:szCs w:val="28"/>
        </w:rPr>
        <w:t xml:space="preserve">THÔNG TIN THUỐC THÁNG </w:t>
      </w:r>
      <w:r w:rsidR="0070727E" w:rsidRPr="00F51A86">
        <w:rPr>
          <w:rFonts w:ascii="Times New Roman" w:hAnsi="Times New Roman" w:cs="Times New Roman"/>
          <w:b/>
          <w:sz w:val="28"/>
          <w:szCs w:val="28"/>
        </w:rPr>
        <w:t>1</w:t>
      </w:r>
      <w:r w:rsidR="00033F01">
        <w:rPr>
          <w:rFonts w:ascii="Times New Roman" w:hAnsi="Times New Roman" w:cs="Times New Roman"/>
          <w:b/>
          <w:sz w:val="28"/>
          <w:szCs w:val="28"/>
        </w:rPr>
        <w:t>1</w:t>
      </w:r>
      <w:r w:rsidR="008B3222" w:rsidRPr="00F51A86">
        <w:rPr>
          <w:rFonts w:ascii="Times New Roman" w:hAnsi="Times New Roman" w:cs="Times New Roman"/>
          <w:b/>
          <w:sz w:val="28"/>
          <w:szCs w:val="28"/>
        </w:rPr>
        <w:t>/202</w:t>
      </w:r>
      <w:r w:rsidR="00125750" w:rsidRPr="00F51A86">
        <w:rPr>
          <w:rFonts w:ascii="Times New Roman" w:hAnsi="Times New Roman" w:cs="Times New Roman"/>
          <w:b/>
          <w:sz w:val="28"/>
          <w:szCs w:val="28"/>
          <w:lang w:val="vi-VN"/>
        </w:rPr>
        <w:t>5</w:t>
      </w:r>
    </w:p>
    <w:p w:rsidR="006843A0" w:rsidRPr="00F51A86" w:rsidRDefault="006843A0" w:rsidP="009059A9">
      <w:pPr>
        <w:spacing w:after="0" w:line="240" w:lineRule="auto"/>
        <w:jc w:val="both"/>
        <w:rPr>
          <w:rFonts w:ascii="Times New Roman" w:hAnsi="Times New Roman" w:cs="Times New Roman"/>
          <w:b/>
          <w:sz w:val="28"/>
          <w:szCs w:val="28"/>
        </w:rPr>
      </w:pPr>
    </w:p>
    <w:p w:rsidR="00033F01" w:rsidRDefault="00C12063" w:rsidP="00033F01">
      <w:pPr>
        <w:spacing w:after="0" w:line="240" w:lineRule="auto"/>
        <w:jc w:val="both"/>
        <w:rPr>
          <w:rFonts w:ascii="Times New Roman" w:hAnsi="Times New Roman" w:cs="Times New Roman"/>
          <w:b/>
          <w:bCs/>
          <w:color w:val="FF0000"/>
          <w:sz w:val="28"/>
          <w:szCs w:val="28"/>
        </w:rPr>
      </w:pPr>
      <w:r w:rsidRPr="00033F01">
        <w:rPr>
          <w:rFonts w:ascii="Times New Roman" w:hAnsi="Times New Roman" w:cs="Times New Roman"/>
          <w:bCs/>
          <w:color w:val="FF0000"/>
          <w:sz w:val="28"/>
          <w:szCs w:val="28"/>
          <w:highlight w:val="yellow"/>
        </w:rPr>
        <w:t>I.</w:t>
      </w:r>
      <w:r w:rsidR="00616A77" w:rsidRPr="00033F01">
        <w:rPr>
          <w:rFonts w:ascii="Times New Roman" w:hAnsi="Times New Roman" w:cs="Times New Roman"/>
          <w:bCs/>
          <w:color w:val="FF0000"/>
          <w:sz w:val="28"/>
          <w:szCs w:val="28"/>
          <w:highlight w:val="yellow"/>
        </w:rPr>
        <w:t xml:space="preserve"> </w:t>
      </w:r>
      <w:r w:rsidR="00033F01" w:rsidRPr="00033F01">
        <w:rPr>
          <w:rFonts w:ascii="Times New Roman" w:hAnsi="Times New Roman" w:cs="Times New Roman"/>
          <w:b/>
          <w:bCs/>
          <w:color w:val="FF0000"/>
          <w:sz w:val="28"/>
          <w:szCs w:val="28"/>
          <w:highlight w:val="yellow"/>
        </w:rPr>
        <w:t>Health Canada: Hoàn tất đánh giá nguy cơ tổn thương gan liên quan đến các sản phẩm chứa nghệ và curcumin đường uống</w:t>
      </w:r>
    </w:p>
    <w:p w:rsidR="00033F01" w:rsidRPr="00033F01" w:rsidRDefault="00033F01" w:rsidP="00033F01">
      <w:pPr>
        <w:spacing w:after="0" w:line="240" w:lineRule="auto"/>
        <w:ind w:firstLine="720"/>
        <w:jc w:val="both"/>
        <w:rPr>
          <w:rFonts w:ascii="Times New Roman" w:hAnsi="Times New Roman" w:cs="Times New Roman"/>
          <w:b/>
          <w:bCs/>
          <w:color w:val="FF0000"/>
          <w:sz w:val="28"/>
          <w:szCs w:val="28"/>
        </w:rPr>
      </w:pPr>
      <w:proofErr w:type="gramStart"/>
      <w:r w:rsidRPr="00033F01">
        <w:rPr>
          <w:rFonts w:ascii="Times New Roman" w:hAnsi="Times New Roman" w:cs="Times New Roman"/>
          <w:color w:val="000000"/>
          <w:sz w:val="28"/>
          <w:szCs w:val="28"/>
        </w:rPr>
        <w:t>Health Canada đã đánh giá nguy cơ gây độc gan liên quan đến việc sử dụng các sản phẩm chứa nghệ hoặc curcuminoid đường uống.</w:t>
      </w:r>
      <w:proofErr w:type="gramEnd"/>
      <w:r w:rsidRPr="00033F01">
        <w:rPr>
          <w:rFonts w:ascii="Times New Roman" w:hAnsi="Times New Roman" w:cs="Times New Roman"/>
          <w:color w:val="000000"/>
          <w:sz w:val="28"/>
          <w:szCs w:val="28"/>
        </w:rPr>
        <w:t xml:space="preserve"> Đánh giá an toàn này được khởi động sau khi Health Canada ghi nhận được một số báo cáo ca hiếm gặp về biến cố tổn thương gan nghiêm trọng sau khi sử dụng các sản phẩm chứa nghệ và curcumin từ y văn và các Cơ quan Quản lý khác trên thế giới.</w:t>
      </w:r>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t>Nghệ là thân rễ của cây Curcuma longa, thuộc họ Gừng. Curcuminoid như curcumin, là nhóm hợp chất chính trong nghệ.</w:t>
      </w:r>
      <w:proofErr w:type="gramEnd"/>
      <w:r w:rsidRPr="00033F01">
        <w:rPr>
          <w:color w:val="000000"/>
          <w:sz w:val="28"/>
          <w:szCs w:val="28"/>
        </w:rPr>
        <w:t xml:space="preserve"> Curcumin có tác dụng chống oxy hóa (bảo vệ tế bào khỏi các gốc tự do có hại)</w:t>
      </w:r>
      <w:proofErr w:type="gramStart"/>
      <w:r w:rsidRPr="00033F01">
        <w:rPr>
          <w:color w:val="000000"/>
          <w:sz w:val="28"/>
          <w:szCs w:val="28"/>
        </w:rPr>
        <w:t>..</w:t>
      </w:r>
      <w:proofErr w:type="gramEnd"/>
      <w:r w:rsidRPr="00033F01">
        <w:rPr>
          <w:color w:val="000000"/>
          <w:sz w:val="28"/>
          <w:szCs w:val="28"/>
        </w:rPr>
        <w:t xml:space="preserve"> </w:t>
      </w:r>
      <w:proofErr w:type="gramStart"/>
      <w:r w:rsidRPr="00033F01">
        <w:rPr>
          <w:color w:val="000000"/>
          <w:sz w:val="28"/>
          <w:szCs w:val="28"/>
        </w:rPr>
        <w:t>Curcuminoid có thể được chiết xuất từ thân rễ và sử dụng trong các sản phẩm bảo vệ sức khỏe (Natural health products - NHPs).</w:t>
      </w:r>
      <w:proofErr w:type="gramEnd"/>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 xml:space="preserve">Khi dùng làm gia vị trong bữa </w:t>
      </w:r>
      <w:proofErr w:type="gramStart"/>
      <w:r w:rsidRPr="00033F01">
        <w:rPr>
          <w:color w:val="000000"/>
          <w:sz w:val="28"/>
          <w:szCs w:val="28"/>
        </w:rPr>
        <w:t>ăn</w:t>
      </w:r>
      <w:proofErr w:type="gramEnd"/>
      <w:r w:rsidRPr="00033F01">
        <w:rPr>
          <w:color w:val="000000"/>
          <w:sz w:val="28"/>
          <w:szCs w:val="28"/>
        </w:rPr>
        <w:t xml:space="preserve"> với liều lượng bình thường, chưa có vấn đề an toàn nào liên quan đến nghệ hoặc curcuminoid được xác định. Do đó, đánh giá của Health Canada không áp dụng cho nghệ hoặc curcuminoid khi sử dụng với mục đích này.</w:t>
      </w:r>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 xml:space="preserve">Ngoài ra, khi được sử dụng tại chỗ (bôi lên da) hoặc làm chất tạo màu, nghệ hoặc curcuminoid ít được cơ thể hấp thụ vào cơ thể, nên cũng không nằm trong phạm </w:t>
      </w:r>
      <w:proofErr w:type="gramStart"/>
      <w:r w:rsidRPr="00033F01">
        <w:rPr>
          <w:color w:val="000000"/>
          <w:sz w:val="28"/>
          <w:szCs w:val="28"/>
        </w:rPr>
        <w:t>vi</w:t>
      </w:r>
      <w:proofErr w:type="gramEnd"/>
      <w:r w:rsidRPr="00033F01">
        <w:rPr>
          <w:color w:val="000000"/>
          <w:sz w:val="28"/>
          <w:szCs w:val="28"/>
        </w:rPr>
        <w:t xml:space="preserve"> đánh giá của Health Canada.</w:t>
      </w:r>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t>Tổn thương gan có thể xuất hiện khi phơi nhiễm với một số hợp chất chiết xuất hoặc phân lập từ thực vật, và có thể tiến triển thành các biến chứng nghiêm trọng, bao gồm suy gan.</w:t>
      </w:r>
      <w:proofErr w:type="gramEnd"/>
    </w:p>
    <w:p w:rsidR="00033F01" w:rsidRPr="00033F01" w:rsidRDefault="00033F01" w:rsidP="00033F01">
      <w:pPr>
        <w:pStyle w:val="NormalWeb"/>
        <w:spacing w:before="0" w:beforeAutospacing="0" w:after="0" w:afterAutospacing="0"/>
        <w:jc w:val="both"/>
        <w:rPr>
          <w:color w:val="414141"/>
          <w:sz w:val="28"/>
          <w:szCs w:val="28"/>
        </w:rPr>
      </w:pPr>
      <w:r w:rsidRPr="00033F01">
        <w:rPr>
          <w:color w:val="414141"/>
          <w:sz w:val="28"/>
          <w:szCs w:val="28"/>
        </w:rPr>
        <w:t> </w:t>
      </w:r>
      <w:r w:rsidRPr="00033F01">
        <w:rPr>
          <w:b/>
          <w:bCs/>
          <w:color w:val="000000"/>
          <w:sz w:val="28"/>
          <w:szCs w:val="28"/>
        </w:rPr>
        <w:t>Bối cảnh tại Canada</w:t>
      </w:r>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t>Các sản phẩm chứa nghệ và curcuminoid được phép sử dụng tại Canada để hỗ trợ giảm đau khớp và giảm viêm khớp, đồng thời có tác dụng chống oxy hóa.</w:t>
      </w:r>
      <w:proofErr w:type="gramEnd"/>
      <w:r w:rsidRPr="00033F01">
        <w:rPr>
          <w:color w:val="000000"/>
          <w:sz w:val="28"/>
          <w:szCs w:val="28"/>
        </w:rPr>
        <w:t xml:space="preserve"> </w:t>
      </w:r>
      <w:proofErr w:type="gramStart"/>
      <w:r w:rsidRPr="00033F01">
        <w:rPr>
          <w:color w:val="000000"/>
          <w:sz w:val="28"/>
          <w:szCs w:val="28"/>
        </w:rPr>
        <w:t>Nghệ và curcuminoid cũng có thể được dùng trong các sản phẩm có nguồn gốc thảo dược để hỗ trợ tiêu hóa hoặc bảo vệ gan, hoặc trong các bài thuốc y học cổ truyền Trung Quốc.</w:t>
      </w:r>
      <w:proofErr w:type="gramEnd"/>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t>Hầu hết các sản phầm chứa nghệ hoặc curcuminoid đường uống không được cấp phép chỉ định cho trẻ em dưới 18 tuổi.</w:t>
      </w:r>
      <w:proofErr w:type="gramEnd"/>
      <w:r w:rsidRPr="00033F01">
        <w:rPr>
          <w:color w:val="000000"/>
          <w:sz w:val="28"/>
          <w:szCs w:val="28"/>
        </w:rPr>
        <w:t xml:space="preserve"> </w:t>
      </w:r>
      <w:proofErr w:type="gramStart"/>
      <w:r w:rsidRPr="00033F01">
        <w:rPr>
          <w:color w:val="000000"/>
          <w:sz w:val="28"/>
          <w:szCs w:val="28"/>
        </w:rPr>
        <w:t>Và không khuyến cáo cho những bệnh nhân có các bệnh lý về đường mật (các tình trạng liên quan đến túi mật và/hoặc ống mật).</w:t>
      </w:r>
      <w:proofErr w:type="gramEnd"/>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t>Tại Canada, hơn 3.000 sản phẩm chứa nghệ hoặc curcuminoid đường uống đang được cấp phép lưu hành.Các sản phẩm này với nhiều dạng bào chế khác nhau (viên nang, viên nén, bột và dung dịch), với thành phần và công thức khác nhau.</w:t>
      </w:r>
      <w:proofErr w:type="gramEnd"/>
    </w:p>
    <w:p w:rsidR="00033F01" w:rsidRPr="00033F01" w:rsidRDefault="00033F01" w:rsidP="00033F01">
      <w:pPr>
        <w:pStyle w:val="NormalWeb"/>
        <w:spacing w:before="0" w:beforeAutospacing="0" w:after="0" w:afterAutospacing="0"/>
        <w:jc w:val="both"/>
        <w:rPr>
          <w:color w:val="414141"/>
          <w:sz w:val="28"/>
          <w:szCs w:val="28"/>
        </w:rPr>
      </w:pPr>
      <w:r w:rsidRPr="00033F01">
        <w:rPr>
          <w:color w:val="414141"/>
          <w:sz w:val="28"/>
          <w:szCs w:val="28"/>
        </w:rPr>
        <w:t> </w:t>
      </w:r>
      <w:r w:rsidRPr="00033F01">
        <w:rPr>
          <w:b/>
          <w:bCs/>
          <w:color w:val="000000"/>
          <w:sz w:val="28"/>
          <w:szCs w:val="28"/>
        </w:rPr>
        <w:t>Dữ liệu đánh giá tại Canada</w:t>
      </w:r>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Health Canada tiến hành đánh giá dựa trên tất cả tài liệu hiện có từ các Cơ quan Quản lý trên thế giới, đồng thời tham khảo cơ sở dữ liệu Canada Vigilance, cơ sở dữ liệu về phản ứng có hại của thuốc của Tổ chức Y tế Thế giới (WHO) và các y văn đã công bố.</w:t>
      </w:r>
    </w:p>
    <w:p w:rsidR="00033F01" w:rsidRPr="00033F01" w:rsidRDefault="00033F01" w:rsidP="00033F01">
      <w:pPr>
        <w:pStyle w:val="NormalWeb"/>
        <w:spacing w:before="0" w:beforeAutospacing="0" w:after="0" w:afterAutospacing="0"/>
        <w:jc w:val="both"/>
        <w:rPr>
          <w:color w:val="414141"/>
          <w:sz w:val="28"/>
          <w:szCs w:val="28"/>
        </w:rPr>
      </w:pPr>
      <w:proofErr w:type="gramStart"/>
      <w:r w:rsidRPr="00033F01">
        <w:rPr>
          <w:color w:val="000000"/>
          <w:sz w:val="28"/>
          <w:szCs w:val="28"/>
        </w:rPr>
        <w:lastRenderedPageBreak/>
        <w:t>Health Canada đã ghi nhận được 12 trường hợp tổn thương gan sau khi sử dụng các sản phẩm chứa nghệ hoặc curcumin.</w:t>
      </w:r>
      <w:proofErr w:type="gramEnd"/>
      <w:r w:rsidRPr="00033F01">
        <w:rPr>
          <w:color w:val="000000"/>
          <w:sz w:val="28"/>
          <w:szCs w:val="28"/>
        </w:rPr>
        <w:t xml:space="preserve"> Cả 12 trường hợp đều không </w:t>
      </w:r>
      <w:proofErr w:type="gramStart"/>
      <w:r w:rsidRPr="00033F01">
        <w:rPr>
          <w:color w:val="000000"/>
          <w:sz w:val="28"/>
          <w:szCs w:val="28"/>
        </w:rPr>
        <w:t>thu</w:t>
      </w:r>
      <w:proofErr w:type="gramEnd"/>
      <w:r w:rsidRPr="00033F01">
        <w:rPr>
          <w:color w:val="000000"/>
          <w:sz w:val="28"/>
          <w:szCs w:val="28"/>
        </w:rPr>
        <w:t xml:space="preserve"> thập đủ thông tin lâm sàng và/hoặc có sự hiện diện của các yếu tố gây nhiễu như các bệnh lý nền vàsử dụng các loại thuốc và sản phẩm khác có ảnh hưởng đến gan. </w:t>
      </w:r>
      <w:proofErr w:type="gramStart"/>
      <w:r w:rsidRPr="00033F01">
        <w:rPr>
          <w:color w:val="000000"/>
          <w:sz w:val="28"/>
          <w:szCs w:val="28"/>
        </w:rPr>
        <w:t>Tuy nhiên, chưa thể loại trừ khả năng liên quan đến việc sử dụng các sản phẩm chứa nghệ hoặc curcumin.</w:t>
      </w:r>
      <w:proofErr w:type="gramEnd"/>
    </w:p>
    <w:p w:rsidR="00033F01" w:rsidRPr="00033F01" w:rsidRDefault="00033F01" w:rsidP="00033F01">
      <w:pPr>
        <w:pStyle w:val="NormalWeb"/>
        <w:spacing w:before="0" w:beforeAutospacing="0" w:after="0" w:afterAutospacing="0"/>
        <w:jc w:val="both"/>
        <w:rPr>
          <w:color w:val="414141"/>
          <w:sz w:val="28"/>
          <w:szCs w:val="28"/>
        </w:rPr>
      </w:pPr>
      <w:r w:rsidRPr="00033F01">
        <w:rPr>
          <w:color w:val="414141"/>
          <w:sz w:val="28"/>
          <w:szCs w:val="28"/>
        </w:rPr>
        <w:t> </w:t>
      </w:r>
      <w:r w:rsidRPr="00033F01">
        <w:rPr>
          <w:b/>
          <w:bCs/>
          <w:color w:val="000000"/>
          <w:sz w:val="28"/>
          <w:szCs w:val="28"/>
        </w:rPr>
        <w:t>Dữ liệu trên thế giới</w:t>
      </w:r>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Thêm vào đó, Health Canada đã phân tích hơn 60 báo cáo trên thế giới về tổn thương gan sau khi sử dụng nghệ hoặc curcuminoid đường uống, bao gồm dữ liệu từ CSDL về phản ứng có hại của thuốc của WHO và các tài liệu y văn  đã được công bố. Trong đó, ba trường hợp tử vong đã được ghi nhận, trong đó có 2 trường hợp tổn thương gan được đánh giá là có liên quan đến việc sử dụng các sản phẩm chứa nghệ hoặc curcumin đường uống. Mặc dù tổn thương trên gan rất hiếm và nguyên nhân chưa được xác định rõ ràng, nhưng những báo cáo ca này chỉ ra rằng có thể liên quan đến nghệ hoặc curcuminoid. </w:t>
      </w:r>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Các cơ quan quản lý khác của Úc, Ý và Pháp cũng đã đưa ra một số biện pháp quản lý đối với nguy cơ này như cập nhật thông tin sản phẩm của các sản phẩm chứa nghệ hoặc curcuminoid đường uống. Cụ thể, bổ sung nguy cơ tổn thương gan và khuyến cáo phù hợp dành cho người tiêu dùng.</w:t>
      </w:r>
    </w:p>
    <w:p w:rsidR="00033F01" w:rsidRPr="00033F01" w:rsidRDefault="00033F01" w:rsidP="00033F01">
      <w:pPr>
        <w:pStyle w:val="NormalWeb"/>
        <w:spacing w:before="0" w:beforeAutospacing="0" w:after="0" w:afterAutospacing="0"/>
        <w:jc w:val="both"/>
        <w:rPr>
          <w:color w:val="414141"/>
          <w:sz w:val="28"/>
          <w:szCs w:val="28"/>
        </w:rPr>
      </w:pPr>
      <w:r w:rsidRPr="00033F01">
        <w:rPr>
          <w:color w:val="000000"/>
          <w:sz w:val="28"/>
          <w:szCs w:val="28"/>
        </w:rPr>
        <w:t xml:space="preserve">Các bằng chứng hiện có cho thấy nguy cơ tổn thương gan liên quan đến sản phẩm chứa nghệ hoặc curcuminoid thường không phụ thuộc vào liều lượng hay thời gian sử dụng, và khó dự đoán trước do các yếu tố nguy cơ chưa xác định đầy đủ. </w:t>
      </w:r>
      <w:proofErr w:type="gramStart"/>
      <w:r w:rsidRPr="00033F01">
        <w:rPr>
          <w:color w:val="000000"/>
          <w:sz w:val="28"/>
          <w:szCs w:val="28"/>
        </w:rPr>
        <w:t>Trong hầu hết các trường hợp, tình trạng tổn thương gan có thể hồi phục sau khi ngừng sử dụng sản phẩm.</w:t>
      </w:r>
      <w:proofErr w:type="gramEnd"/>
    </w:p>
    <w:p w:rsidR="00033F01" w:rsidRPr="00B74538" w:rsidRDefault="00033F01" w:rsidP="00B74538">
      <w:pPr>
        <w:pStyle w:val="NormalWeb"/>
        <w:spacing w:before="0" w:beforeAutospacing="0" w:after="0" w:afterAutospacing="0"/>
        <w:jc w:val="both"/>
        <w:rPr>
          <w:color w:val="414141"/>
          <w:sz w:val="28"/>
          <w:szCs w:val="28"/>
        </w:rPr>
      </w:pPr>
      <w:r w:rsidRPr="00B74538">
        <w:rPr>
          <w:color w:val="414141"/>
          <w:sz w:val="28"/>
          <w:szCs w:val="28"/>
        </w:rPr>
        <w:t> </w:t>
      </w:r>
      <w:r w:rsidRPr="00B74538">
        <w:rPr>
          <w:b/>
          <w:bCs/>
          <w:color w:val="000000"/>
          <w:sz w:val="28"/>
          <w:szCs w:val="28"/>
        </w:rPr>
        <w:t>Khuyến cáo từ Health Canada</w:t>
      </w:r>
    </w:p>
    <w:p w:rsidR="00033F01" w:rsidRPr="00B74538" w:rsidRDefault="00033F01" w:rsidP="00B74538">
      <w:pPr>
        <w:pStyle w:val="NormalWeb"/>
        <w:spacing w:before="0" w:beforeAutospacing="0" w:after="0" w:afterAutospacing="0"/>
        <w:jc w:val="both"/>
        <w:rPr>
          <w:color w:val="414141"/>
          <w:sz w:val="28"/>
          <w:szCs w:val="28"/>
        </w:rPr>
      </w:pPr>
      <w:proofErr w:type="gramStart"/>
      <w:r w:rsidRPr="00B74538">
        <w:rPr>
          <w:color w:val="000000"/>
          <w:sz w:val="28"/>
          <w:szCs w:val="28"/>
        </w:rPr>
        <w:t>Health Canada xác định được mối liên quan mức độ có thể giữa việc sử dụng nghệ hoặc curcuminoid đường uống và nguy cơ gây tổn thương gan.</w:t>
      </w:r>
      <w:proofErr w:type="gramEnd"/>
    </w:p>
    <w:p w:rsidR="00033F01" w:rsidRPr="00B74538" w:rsidRDefault="00033F01" w:rsidP="00B74538">
      <w:pPr>
        <w:pStyle w:val="NormalWeb"/>
        <w:spacing w:before="0" w:beforeAutospacing="0" w:after="0" w:afterAutospacing="0"/>
        <w:jc w:val="both"/>
        <w:rPr>
          <w:color w:val="414141"/>
          <w:sz w:val="28"/>
          <w:szCs w:val="28"/>
        </w:rPr>
      </w:pPr>
      <w:r w:rsidRPr="00B74538">
        <w:rPr>
          <w:color w:val="000000"/>
          <w:sz w:val="28"/>
          <w:szCs w:val="28"/>
        </w:rPr>
        <w:t>Health Canada khuyến cáo các nhà sản xuất cập nhật bổ sung cảnh báo nguy cơ tổn thương gan đối với các sản phẩm chứa nghệ và curcuminoid. Cụ thể bổ sung thông tin như sau: </w:t>
      </w:r>
    </w:p>
    <w:p w:rsidR="00033F01" w:rsidRPr="00B74538" w:rsidRDefault="00033F01" w:rsidP="00B74538">
      <w:pPr>
        <w:pStyle w:val="NormalWeb"/>
        <w:spacing w:before="0" w:beforeAutospacing="0" w:after="0" w:afterAutospacing="0"/>
        <w:jc w:val="both"/>
        <w:rPr>
          <w:color w:val="414141"/>
          <w:sz w:val="28"/>
          <w:szCs w:val="28"/>
        </w:rPr>
      </w:pPr>
      <w:r w:rsidRPr="00B74538">
        <w:rPr>
          <w:color w:val="000000"/>
          <w:sz w:val="28"/>
          <w:szCs w:val="28"/>
        </w:rPr>
        <w:t>- Cảnh báo về các dấu hiệu và triệu chứng của tổn thương gan, bao gồm vàng mắt hoặc da, nước tiểu sẫm màu, buồn nôn, nôn và đau bụng.</w:t>
      </w:r>
    </w:p>
    <w:p w:rsidR="00033F01" w:rsidRPr="00B74538" w:rsidRDefault="00033F01" w:rsidP="00B74538">
      <w:pPr>
        <w:pStyle w:val="NormalWeb"/>
        <w:spacing w:before="0" w:beforeAutospacing="0" w:after="0" w:afterAutospacing="0"/>
        <w:jc w:val="both"/>
        <w:rPr>
          <w:color w:val="414141"/>
          <w:sz w:val="28"/>
          <w:szCs w:val="28"/>
        </w:rPr>
      </w:pPr>
      <w:r w:rsidRPr="00B74538">
        <w:rPr>
          <w:color w:val="000000"/>
          <w:sz w:val="28"/>
          <w:szCs w:val="28"/>
        </w:rPr>
        <w:t>- Khuyến cáo người tiêu dùng tham khảo ý kiến nhân viên y tế trước khi sử dụng các sản phẩm chứa nghệ và curcumin khi đang có bệnh lý về gan hoặc đang sử dụng nhiều loại thuốc ảnh hưởng đến gan. Ngừng sử dụng sản phẩm khi xuất hiện các triệu chứng tổn thương gan</w:t>
      </w:r>
    </w:p>
    <w:p w:rsidR="00033F01" w:rsidRPr="00B74538" w:rsidRDefault="00033F01" w:rsidP="00B74538">
      <w:pPr>
        <w:pStyle w:val="NormalWeb"/>
        <w:spacing w:before="0" w:beforeAutospacing="0" w:after="0" w:afterAutospacing="0"/>
        <w:jc w:val="both"/>
        <w:rPr>
          <w:color w:val="414141"/>
          <w:sz w:val="28"/>
          <w:szCs w:val="28"/>
        </w:rPr>
      </w:pPr>
      <w:proofErr w:type="gramStart"/>
      <w:r w:rsidRPr="00B74538">
        <w:rPr>
          <w:color w:val="000000"/>
          <w:sz w:val="28"/>
          <w:szCs w:val="28"/>
        </w:rPr>
        <w:t>Health Canada cũng sẽ tích cực truyền thông về nguy cơ này đến các chuyên gia y tế và người tiêu dùng.</w:t>
      </w:r>
      <w:proofErr w:type="gramEnd"/>
      <w:r w:rsidRPr="00B74538">
        <w:rPr>
          <w:color w:val="000000"/>
          <w:sz w:val="28"/>
          <w:szCs w:val="28"/>
        </w:rPr>
        <w:t xml:space="preserve"> Đồng thời, tiếp tục theo dõi thông tin an toàn liên quan đến các sản phẩm chứa nghệ và curcuminoid và tất cả các sản phẩm trên thị trường Canada, nhằm phát hiện và đánh giá các vấn đề an toàn mới.</w:t>
      </w:r>
    </w:p>
    <w:p w:rsidR="00B74538" w:rsidRPr="00B74538" w:rsidRDefault="00033F01" w:rsidP="00B74538">
      <w:pPr>
        <w:spacing w:after="0" w:line="240" w:lineRule="auto"/>
        <w:rPr>
          <w:rFonts w:ascii="Times New Roman" w:hAnsi="Times New Roman" w:cs="Times New Roman"/>
          <w:b/>
          <w:bCs/>
          <w:color w:val="006666"/>
          <w:sz w:val="28"/>
          <w:szCs w:val="28"/>
        </w:rPr>
      </w:pPr>
      <w:r w:rsidRPr="00B74538">
        <w:rPr>
          <w:rFonts w:ascii="Times New Roman" w:hAnsi="Times New Roman" w:cs="Times New Roman"/>
          <w:color w:val="414141"/>
          <w:sz w:val="28"/>
          <w:szCs w:val="28"/>
        </w:rPr>
        <w:t> </w:t>
      </w:r>
      <w:r w:rsidR="00B74538" w:rsidRPr="00B74538">
        <w:rPr>
          <w:rFonts w:ascii="Times New Roman" w:hAnsi="Times New Roman" w:cs="Times New Roman"/>
          <w:color w:val="FF0000"/>
          <w:sz w:val="28"/>
          <w:szCs w:val="28"/>
          <w:highlight w:val="yellow"/>
        </w:rPr>
        <w:t>II.</w:t>
      </w:r>
      <w:r w:rsidR="00B74538" w:rsidRPr="00B74538">
        <w:rPr>
          <w:rFonts w:ascii="Times New Roman" w:hAnsi="Times New Roman" w:cs="Times New Roman"/>
          <w:b/>
          <w:bCs/>
          <w:color w:val="FF0000"/>
          <w:sz w:val="28"/>
          <w:szCs w:val="28"/>
          <w:highlight w:val="yellow"/>
        </w:rPr>
        <w:t xml:space="preserve"> </w:t>
      </w:r>
      <w:r w:rsidR="00B74538" w:rsidRPr="00B74538">
        <w:rPr>
          <w:rFonts w:ascii="Times New Roman" w:hAnsi="Times New Roman" w:cs="Times New Roman"/>
          <w:b/>
          <w:bCs/>
          <w:color w:val="FF0000"/>
          <w:sz w:val="28"/>
          <w:szCs w:val="28"/>
          <w:highlight w:val="yellow"/>
        </w:rPr>
        <w:t>ANSM: Cập nhật dữ liệu mới về nguy cơ rối loạn phát triển thần kinh ở trẻ có cha sử dụng valproat trước khi thụ tinh</w:t>
      </w:r>
    </w:p>
    <w:p w:rsidR="00B74538" w:rsidRPr="00B74538" w:rsidRDefault="00B74538" w:rsidP="00B74538">
      <w:pPr>
        <w:spacing w:after="0" w:line="240" w:lineRule="auto"/>
        <w:ind w:firstLine="720"/>
        <w:rPr>
          <w:rFonts w:ascii="Times New Roman" w:hAnsi="Times New Roman" w:cs="Times New Roman"/>
          <w:color w:val="414141"/>
          <w:sz w:val="28"/>
          <w:szCs w:val="28"/>
        </w:rPr>
      </w:pPr>
      <w:r w:rsidRPr="00B74538">
        <w:rPr>
          <w:rFonts w:ascii="Times New Roman" w:hAnsi="Times New Roman" w:cs="Times New Roman"/>
          <w:color w:val="414141"/>
          <w:sz w:val="28"/>
          <w:szCs w:val="28"/>
        </w:rPr>
        <w:t xml:space="preserve">Mới đây, nhóm nghiên cứu Epi-Phare thuộc ANSM-Cnam vừa công bố một nghiên cứu mới được tiến hành trên dữ liệu của khoảng 2,8 triệu trẻ em từ cơ sở dữ liệu </w:t>
      </w:r>
      <w:r w:rsidRPr="00B74538">
        <w:rPr>
          <w:rFonts w:ascii="Times New Roman" w:hAnsi="Times New Roman" w:cs="Times New Roman"/>
          <w:color w:val="414141"/>
          <w:sz w:val="28"/>
          <w:szCs w:val="28"/>
        </w:rPr>
        <w:lastRenderedPageBreak/>
        <w:t xml:space="preserve">của Hệ thống Dữ liệu Y tế Quốc gia Pháp (SNDS) giai đoạn 2010 đến 2015. </w:t>
      </w:r>
      <w:proofErr w:type="gramStart"/>
      <w:r w:rsidRPr="00B74538">
        <w:rPr>
          <w:rFonts w:ascii="Times New Roman" w:hAnsi="Times New Roman" w:cs="Times New Roman"/>
          <w:color w:val="414141"/>
          <w:sz w:val="28"/>
          <w:szCs w:val="28"/>
        </w:rPr>
        <w:t>Trong đó, 4.773 trẻ có cha dùng valproat trong giai đoạn sinh tinh (khoảng 3-4 tháng trước khi thụ tinh).</w:t>
      </w:r>
      <w:proofErr w:type="gramEnd"/>
      <w:r w:rsidRPr="00B74538">
        <w:rPr>
          <w:rFonts w:ascii="Times New Roman" w:hAnsi="Times New Roman" w:cs="Times New Roman"/>
          <w:color w:val="414141"/>
          <w:sz w:val="28"/>
          <w:szCs w:val="28"/>
        </w:rPr>
        <w:t xml:space="preserve"> Nghiên cứu đã ghi nhận được 583 trẻ xuất hiện ít nhất một loại rối loạn phát triển thần kinh, cụ thể 149 trẻ bị rối loạn tăng động giảm chú ý (ADHD); 42 trẻ có chậm phát triển trí tuệ; 77 trẻ mắc rối loạn phổ tự kỷ (ASD); 294 trẻ gặp rối loạn giao tiếp; 160 trẻ có khiếm khuyết liên quan khả năng học tập. </w:t>
      </w:r>
    </w:p>
    <w:p w:rsidR="00B74538" w:rsidRPr="00B74538" w:rsidRDefault="00B74538" w:rsidP="00B74538">
      <w:pPr>
        <w:spacing w:after="0" w:line="240" w:lineRule="auto"/>
        <w:ind w:firstLine="720"/>
        <w:rPr>
          <w:rFonts w:ascii="Times New Roman" w:hAnsi="Times New Roman" w:cs="Times New Roman"/>
          <w:b/>
          <w:bCs/>
          <w:color w:val="006666"/>
          <w:sz w:val="28"/>
          <w:szCs w:val="28"/>
        </w:rPr>
      </w:pPr>
      <w:r w:rsidRPr="00B74538">
        <w:rPr>
          <w:rFonts w:ascii="Times New Roman" w:hAnsi="Times New Roman" w:cs="Times New Roman"/>
          <w:color w:val="414141"/>
          <w:sz w:val="28"/>
          <w:szCs w:val="28"/>
        </w:rPr>
        <w:t>Theo đó, so với nhóm trẻ có cha được điều trị với với các thuốc lamotrigin hoặc levetiracetam, nguy cơ mắc rối loạn phát triển thần kinh ở trẻ có cha sử dụng valproat trong thời kỳ thụ tinh tăng khoảng 24%. Đáng chú ý là, nguy cơ chậm phát triển trí tuệ tăng gấp đôi, tương đương tăng thêm khoảng 3</w:t>
      </w:r>
      <w:proofErr w:type="gramStart"/>
      <w:r w:rsidRPr="00B74538">
        <w:rPr>
          <w:rFonts w:ascii="Times New Roman" w:hAnsi="Times New Roman" w:cs="Times New Roman"/>
          <w:color w:val="414141"/>
          <w:sz w:val="28"/>
          <w:szCs w:val="28"/>
        </w:rPr>
        <w:t>,5</w:t>
      </w:r>
      <w:proofErr w:type="gramEnd"/>
      <w:r w:rsidRPr="00B74538">
        <w:rPr>
          <w:rFonts w:ascii="Times New Roman" w:hAnsi="Times New Roman" w:cs="Times New Roman"/>
          <w:color w:val="414141"/>
          <w:sz w:val="28"/>
          <w:szCs w:val="28"/>
        </w:rPr>
        <w:t xml:space="preserve"> trường hợp trên mỗi 1.000 trẻ có cha điều trị với valproat so với nhóm trẻ có cha điều trị với lamotrigin hoặc levetiracetam. Kết quả nghiên cứu này cũng chỉ ra rằng các rối loạn phát triển thần kinh khác cũng có xu hướng tăng tuy nhiên với mức độ vừa phải và cần được xác nhận thêm trong các nghiên cứu tiếp </w:t>
      </w:r>
      <w:proofErr w:type="gramStart"/>
      <w:r w:rsidRPr="00B74538">
        <w:rPr>
          <w:rFonts w:ascii="Times New Roman" w:hAnsi="Times New Roman" w:cs="Times New Roman"/>
          <w:color w:val="414141"/>
          <w:sz w:val="28"/>
          <w:szCs w:val="28"/>
        </w:rPr>
        <w:t>theo</w:t>
      </w:r>
      <w:proofErr w:type="gramEnd"/>
      <w:r w:rsidRPr="00B74538">
        <w:rPr>
          <w:rFonts w:ascii="Times New Roman" w:hAnsi="Times New Roman" w:cs="Times New Roman"/>
          <w:color w:val="414141"/>
          <w:sz w:val="28"/>
          <w:szCs w:val="28"/>
        </w:rPr>
        <w:t>.</w:t>
      </w:r>
    </w:p>
    <w:p w:rsidR="00B74538" w:rsidRPr="00B74538" w:rsidRDefault="00B74538" w:rsidP="00B74538">
      <w:pPr>
        <w:pStyle w:val="NormalWeb"/>
        <w:spacing w:before="0" w:beforeAutospacing="0" w:after="0" w:afterAutospacing="0"/>
        <w:ind w:firstLine="720"/>
        <w:jc w:val="both"/>
        <w:rPr>
          <w:color w:val="414141"/>
          <w:sz w:val="28"/>
          <w:szCs w:val="28"/>
        </w:rPr>
      </w:pPr>
      <w:proofErr w:type="gramStart"/>
      <w:r w:rsidRPr="00B74538">
        <w:rPr>
          <w:color w:val="414141"/>
          <w:sz w:val="28"/>
          <w:szCs w:val="28"/>
        </w:rPr>
        <w:t>Nghiên cứu mới này của EPI-PHARE là nghiên cứu có quy mô lớn nhất cho đến thời điểm hiện tại về chủ đề này.</w:t>
      </w:r>
      <w:proofErr w:type="gramEnd"/>
      <w:r w:rsidRPr="00B74538">
        <w:rPr>
          <w:color w:val="414141"/>
          <w:sz w:val="28"/>
          <w:szCs w:val="28"/>
        </w:rPr>
        <w:t xml:space="preserve"> </w:t>
      </w:r>
      <w:proofErr w:type="gramStart"/>
      <w:r w:rsidRPr="00B74538">
        <w:rPr>
          <w:color w:val="414141"/>
          <w:sz w:val="28"/>
          <w:szCs w:val="28"/>
        </w:rPr>
        <w:t>Kết quả nghiên cứu cung cấp cơ sở khoa học vững chắc ủng hộ cho các các biện pháp nhằm hạn chế phơi nhiễm valproat ở nam giới trong độ tuổi sinh sản tại Pháp từ đầu năm 2025.</w:t>
      </w:r>
      <w:proofErr w:type="gramEnd"/>
      <w:r w:rsidRPr="00B74538">
        <w:rPr>
          <w:color w:val="414141"/>
          <w:sz w:val="28"/>
          <w:szCs w:val="28"/>
        </w:rPr>
        <w:t xml:space="preserve"> </w:t>
      </w:r>
      <w:proofErr w:type="gramStart"/>
      <w:r w:rsidRPr="00B74538">
        <w:rPr>
          <w:color w:val="414141"/>
          <w:sz w:val="28"/>
          <w:szCs w:val="28"/>
        </w:rPr>
        <w:t>Các kết quả nghiên cứu mới này sẽ được chuyển lên cấp Châu Âu để tiếp tục đánh giá.</w:t>
      </w:r>
      <w:proofErr w:type="gramEnd"/>
      <w:r w:rsidRPr="00B74538">
        <w:rPr>
          <w:color w:val="414141"/>
          <w:sz w:val="28"/>
          <w:szCs w:val="28"/>
        </w:rPr>
        <w:t> </w:t>
      </w:r>
    </w:p>
    <w:p w:rsidR="00B74538" w:rsidRPr="00B74538" w:rsidRDefault="00B74538" w:rsidP="00B74538">
      <w:pPr>
        <w:pStyle w:val="NormalWeb"/>
        <w:spacing w:before="0" w:beforeAutospacing="0" w:after="0" w:afterAutospacing="0"/>
        <w:ind w:firstLine="720"/>
        <w:jc w:val="both"/>
        <w:rPr>
          <w:color w:val="414141"/>
          <w:sz w:val="28"/>
          <w:szCs w:val="28"/>
        </w:rPr>
      </w:pPr>
      <w:proofErr w:type="gramStart"/>
      <w:r w:rsidRPr="00B74538">
        <w:rPr>
          <w:color w:val="414141"/>
          <w:sz w:val="28"/>
          <w:szCs w:val="28"/>
        </w:rPr>
        <w:t>Bên cạnh đó, ANSM cũng nhắc lại các thay đổi về điều kiện kê đơn và cấp phát thuốc đang được áp dụng nhằm quản lý nguy cơ này tại Pháp.</w:t>
      </w:r>
      <w:proofErr w:type="gramEnd"/>
    </w:p>
    <w:p w:rsidR="00B74538" w:rsidRPr="00B74538" w:rsidRDefault="00B74538" w:rsidP="00B74538">
      <w:pPr>
        <w:pStyle w:val="NormalWeb"/>
        <w:spacing w:before="0" w:beforeAutospacing="0" w:after="0" w:afterAutospacing="0"/>
        <w:jc w:val="both"/>
        <w:rPr>
          <w:color w:val="414141"/>
          <w:sz w:val="28"/>
          <w:szCs w:val="28"/>
        </w:rPr>
      </w:pPr>
      <w:r w:rsidRPr="00B74538">
        <w:rPr>
          <w:rStyle w:val="Strong"/>
          <w:color w:val="414141"/>
          <w:sz w:val="28"/>
          <w:szCs w:val="28"/>
        </w:rPr>
        <w:t>Khuyến cáo dành cho bác sĩ</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xml:space="preserve">- Chỉ bác sĩ chuyên khoa thần kinh, tâm thần học hoặc </w:t>
      </w:r>
      <w:proofErr w:type="gramStart"/>
      <w:r w:rsidRPr="00B74538">
        <w:rPr>
          <w:color w:val="414141"/>
          <w:sz w:val="28"/>
          <w:szCs w:val="28"/>
        </w:rPr>
        <w:t>nhi</w:t>
      </w:r>
      <w:proofErr w:type="gramEnd"/>
      <w:r w:rsidRPr="00B74538">
        <w:rPr>
          <w:color w:val="414141"/>
          <w:sz w:val="28"/>
          <w:szCs w:val="28"/>
        </w:rPr>
        <w:t xml:space="preserve"> khoa mới được kê đơn valproat đầu tiên cho thanh thiếu niên và nam giới trong độ tuổi sinh sản. Đơn thuốc điều trị tiếp </w:t>
      </w:r>
      <w:proofErr w:type="gramStart"/>
      <w:r w:rsidRPr="00B74538">
        <w:rPr>
          <w:color w:val="414141"/>
          <w:sz w:val="28"/>
          <w:szCs w:val="28"/>
        </w:rPr>
        <w:t>theo</w:t>
      </w:r>
      <w:proofErr w:type="gramEnd"/>
      <w:r w:rsidRPr="00B74538">
        <w:rPr>
          <w:color w:val="414141"/>
          <w:sz w:val="28"/>
          <w:szCs w:val="28"/>
        </w:rPr>
        <w:t xml:space="preserve"> có thể được thực hiện bởi bất kỳ bác sĩ nào.</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Cảnh báo bệnh nhân về nguy cơ liên quan đến việc phơi nhiễm với valproat ở trẻ khi bắt đầu kê đơn cho nam giới có khả năng sinh sản, và ít nhất mỗi năm một lần sau đó.</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xml:space="preserve">- Cung cấp tờ thông tin sản phẩm và ký cam kết đã tư vấn nguy cơ này với bệnh nhân. Nếu không có cam kết được ký trong vòng một năm kèm </w:t>
      </w:r>
      <w:proofErr w:type="gramStart"/>
      <w:r w:rsidRPr="00B74538">
        <w:rPr>
          <w:color w:val="414141"/>
          <w:sz w:val="28"/>
          <w:szCs w:val="28"/>
        </w:rPr>
        <w:t>theo</w:t>
      </w:r>
      <w:proofErr w:type="gramEnd"/>
      <w:r w:rsidRPr="00B74538">
        <w:rPr>
          <w:color w:val="414141"/>
          <w:sz w:val="28"/>
          <w:szCs w:val="28"/>
        </w:rPr>
        <w:t xml:space="preserve"> đơn thuốc, dược sĩ sẽ không được cấp phát thuốc theo đơn cho bệnh nhân.</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Tư vấn cho bệnh nhân về sự cần thiết của các biện pháp tránh thai phù hợp, đối với cả nữ giới</w:t>
      </w:r>
      <w:proofErr w:type="gramStart"/>
      <w:r w:rsidRPr="00B74538">
        <w:rPr>
          <w:color w:val="414141"/>
          <w:sz w:val="28"/>
          <w:szCs w:val="28"/>
        </w:rPr>
        <w:t>  trong</w:t>
      </w:r>
      <w:proofErr w:type="gramEnd"/>
      <w:r w:rsidRPr="00B74538">
        <w:rPr>
          <w:color w:val="414141"/>
          <w:sz w:val="28"/>
          <w:szCs w:val="28"/>
        </w:rPr>
        <w:t xml:space="preserve"> quá trình điều trị và ít nhất ba tháng sau khi ngừng điều trị;</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Khuyến cáo bệnh nhân không được hiến tinh trùng trong quá trình điều trị bằng valproat hoặc các dẫn xuất của valproat, và trong ít nhất ba tháng sau khi ngừng thuốc</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Tư vấn cho bệnh nhân về việc lưu trữ tinh trùng trước khi bắt đầu điều trị.</w:t>
      </w:r>
    </w:p>
    <w:p w:rsidR="00B74538" w:rsidRPr="00B74538" w:rsidRDefault="00B74538" w:rsidP="00B74538">
      <w:pPr>
        <w:pStyle w:val="NormalWeb"/>
        <w:spacing w:before="0" w:beforeAutospacing="0" w:after="0" w:afterAutospacing="0"/>
        <w:ind w:firstLine="720"/>
        <w:jc w:val="both"/>
        <w:rPr>
          <w:color w:val="414141"/>
          <w:sz w:val="28"/>
          <w:szCs w:val="28"/>
        </w:rPr>
      </w:pPr>
      <w:r w:rsidRPr="00B74538">
        <w:rPr>
          <w:color w:val="414141"/>
          <w:sz w:val="28"/>
          <w:szCs w:val="28"/>
        </w:rPr>
        <w:t>- Khuyến cáo bệnh nhân thông báo cho bác sĩ điều trị khi có kế hoạch sinh con để được cân nhắc liệu pháp điều trị thay thế phù hợp</w:t>
      </w:r>
    </w:p>
    <w:p w:rsidR="00B50A11" w:rsidRDefault="00B74538" w:rsidP="00B50A11">
      <w:pPr>
        <w:pStyle w:val="NormalWeb"/>
        <w:spacing w:before="0" w:beforeAutospacing="0" w:after="0" w:afterAutospacing="0"/>
        <w:ind w:firstLine="720"/>
        <w:jc w:val="both"/>
        <w:rPr>
          <w:color w:val="414141"/>
          <w:sz w:val="28"/>
          <w:szCs w:val="28"/>
        </w:rPr>
      </w:pPr>
      <w:r w:rsidRPr="00B74538">
        <w:rPr>
          <w:color w:val="414141"/>
          <w:sz w:val="28"/>
          <w:szCs w:val="28"/>
        </w:rPr>
        <w:t>- Cảnh báo bệnh nhân không tự ý ngừng thuốc và giải thích các nguy cơ khi ngừng thuốc đột ngột.</w:t>
      </w:r>
    </w:p>
    <w:p w:rsidR="00B74538" w:rsidRPr="00B74538" w:rsidRDefault="00B74538" w:rsidP="00B50A11">
      <w:pPr>
        <w:pStyle w:val="NormalWeb"/>
        <w:spacing w:before="0" w:beforeAutospacing="0" w:after="0" w:afterAutospacing="0"/>
        <w:ind w:firstLine="720"/>
        <w:jc w:val="both"/>
        <w:rPr>
          <w:color w:val="414141"/>
          <w:sz w:val="28"/>
          <w:szCs w:val="28"/>
        </w:rPr>
      </w:pPr>
      <w:r w:rsidRPr="00B74538">
        <w:rPr>
          <w:color w:val="414141"/>
          <w:sz w:val="28"/>
          <w:szCs w:val="28"/>
        </w:rPr>
        <w:lastRenderedPageBreak/>
        <w:t xml:space="preserve">- Nếu một phụ nữ đang mang </w:t>
      </w:r>
      <w:proofErr w:type="gramStart"/>
      <w:r w:rsidRPr="00B74538">
        <w:rPr>
          <w:color w:val="414141"/>
          <w:sz w:val="28"/>
          <w:szCs w:val="28"/>
        </w:rPr>
        <w:t>thai</w:t>
      </w:r>
      <w:proofErr w:type="gramEnd"/>
      <w:r w:rsidRPr="00B74538">
        <w:rPr>
          <w:color w:val="414141"/>
          <w:sz w:val="28"/>
          <w:szCs w:val="28"/>
        </w:rPr>
        <w:t xml:space="preserve"> hoặc sinh con với một bệnh nhân nam đang sử dụng valproat, cần tham khảo ý kiến bác sĩ để có kế hoạch chăm sóc phù hợp.</w:t>
      </w:r>
    </w:p>
    <w:p w:rsidR="00B74538" w:rsidRPr="00B74538" w:rsidRDefault="00B74538" w:rsidP="00B74538">
      <w:pPr>
        <w:pStyle w:val="NormalWeb"/>
        <w:spacing w:before="0" w:beforeAutospacing="0" w:after="0" w:afterAutospacing="0"/>
        <w:jc w:val="both"/>
        <w:rPr>
          <w:color w:val="414141"/>
          <w:sz w:val="28"/>
          <w:szCs w:val="28"/>
        </w:rPr>
      </w:pPr>
      <w:r w:rsidRPr="00B74538">
        <w:rPr>
          <w:rStyle w:val="Strong"/>
          <w:color w:val="414141"/>
          <w:sz w:val="28"/>
          <w:szCs w:val="28"/>
        </w:rPr>
        <w:t>Khuyến cáo dành cho dược sĩ</w:t>
      </w:r>
    </w:p>
    <w:p w:rsidR="00B74538" w:rsidRPr="00B74538" w:rsidRDefault="00B74538" w:rsidP="00B74538">
      <w:pPr>
        <w:pStyle w:val="NormalWeb"/>
        <w:spacing w:before="0" w:beforeAutospacing="0" w:after="0" w:afterAutospacing="0"/>
        <w:jc w:val="both"/>
        <w:rPr>
          <w:color w:val="414141"/>
          <w:sz w:val="28"/>
          <w:szCs w:val="28"/>
        </w:rPr>
      </w:pPr>
      <w:r w:rsidRPr="00B74538">
        <w:rPr>
          <w:color w:val="414141"/>
          <w:sz w:val="28"/>
          <w:szCs w:val="28"/>
        </w:rPr>
        <w:t>- Yêu cầu xuất trình đơn thuốc do bác sĩ chuyên khoa thần kinh, tâm thần hoặc nhi khoa kê đơn, cũng như đơn thuốc tiếp theo (nếu có), bản cam kết được ký bởi bác sĩ kê đơn có ngày ký không quá một năm trước khi cấp phát thuốc cho bệnh nhân nam giới trong độ tuổi sinh sản.</w:t>
      </w:r>
    </w:p>
    <w:p w:rsidR="00B74538" w:rsidRPr="00B74538" w:rsidRDefault="00B74538" w:rsidP="00B74538">
      <w:pPr>
        <w:pStyle w:val="NormalWeb"/>
        <w:spacing w:before="0" w:beforeAutospacing="0" w:after="0" w:afterAutospacing="0"/>
        <w:jc w:val="both"/>
        <w:rPr>
          <w:color w:val="414141"/>
          <w:sz w:val="28"/>
          <w:szCs w:val="28"/>
        </w:rPr>
      </w:pPr>
      <w:proofErr w:type="gramStart"/>
      <w:r w:rsidRPr="00B74538">
        <w:rPr>
          <w:color w:val="414141"/>
          <w:sz w:val="28"/>
          <w:szCs w:val="28"/>
        </w:rPr>
        <w:t>- Đảm bảo bệnh nhân đã nhận được tờ thông tin sử dụng thuốc và đã được cảnh báo về nguy cơ liên quan đến valproat.</w:t>
      </w:r>
      <w:proofErr w:type="gramEnd"/>
    </w:p>
    <w:p w:rsidR="00B74538" w:rsidRPr="00B74538" w:rsidRDefault="00B74538" w:rsidP="00B74538">
      <w:pPr>
        <w:pStyle w:val="NormalWeb"/>
        <w:spacing w:before="0" w:beforeAutospacing="0" w:after="0" w:afterAutospacing="0"/>
        <w:rPr>
          <w:rFonts w:ascii="Arial" w:hAnsi="Arial" w:cs="Arial"/>
          <w:color w:val="414141"/>
          <w:sz w:val="22"/>
          <w:szCs w:val="22"/>
        </w:rPr>
      </w:pPr>
      <w:r w:rsidRPr="00B74538">
        <w:rPr>
          <w:color w:val="000000"/>
          <w:sz w:val="22"/>
          <w:szCs w:val="22"/>
        </w:rPr>
        <w:t>Nguồn: </w:t>
      </w:r>
      <w:hyperlink r:id="rId8" w:history="1">
        <w:r w:rsidRPr="00B74538">
          <w:rPr>
            <w:rStyle w:val="Hyperlink"/>
            <w:sz w:val="22"/>
            <w:szCs w:val="22"/>
            <w:bdr w:val="none" w:sz="0" w:space="0" w:color="auto" w:frame="1"/>
          </w:rPr>
          <w:t>https://ansm.sante.fr/actualites/valproate-et-derives-reduire-le-risque-de-troubles-neurodeveloppementaux-chez-les-enfants-dont-le-pere-a-ete-traite-avant-la-conception</w:t>
        </w:r>
      </w:hyperlink>
      <w:r w:rsidRPr="00B74538">
        <w:rPr>
          <w:color w:val="000000"/>
          <w:sz w:val="22"/>
          <w:szCs w:val="22"/>
        </w:rPr>
        <w:t xml:space="preserve"> &amp; </w:t>
      </w:r>
      <w:hyperlink r:id="rId9" w:history="1">
        <w:r w:rsidRPr="00B74538">
          <w:rPr>
            <w:rStyle w:val="Hyperlink"/>
            <w:sz w:val="22"/>
            <w:szCs w:val="22"/>
            <w:bdr w:val="none" w:sz="0" w:space="0" w:color="auto" w:frame="1"/>
          </w:rPr>
          <w:t>https://ansm.sante.fr/actualites/exposition-paternelle-au-valproate-pendant-la-periode-de-conception-nouvelle-etude-en-faveur-dun-risque-accru-de-troubles-neuro-developpementaux-chez-lenfant</w:t>
        </w:r>
      </w:hyperlink>
    </w:p>
    <w:p w:rsidR="004B54FE" w:rsidRPr="004B54FE" w:rsidRDefault="004B54FE" w:rsidP="004B54FE">
      <w:pPr>
        <w:shd w:val="clear" w:color="auto" w:fill="FFFFFF"/>
        <w:spacing w:after="0" w:line="240" w:lineRule="auto"/>
        <w:jc w:val="both"/>
        <w:rPr>
          <w:rFonts w:ascii="Times New Roman" w:eastAsia="Times New Roman" w:hAnsi="Times New Roman" w:cs="Times New Roman"/>
          <w:color w:val="FF0000"/>
          <w:sz w:val="28"/>
          <w:szCs w:val="28"/>
        </w:rPr>
      </w:pPr>
      <w:r w:rsidRPr="004B54FE">
        <w:rPr>
          <w:rFonts w:ascii="Times New Roman" w:eastAsia="Times New Roman" w:hAnsi="Times New Roman" w:cs="Times New Roman"/>
          <w:b/>
          <w:bCs/>
          <w:color w:val="FF0000"/>
          <w:sz w:val="28"/>
          <w:szCs w:val="28"/>
          <w:highlight w:val="yellow"/>
        </w:rPr>
        <w:t>III. CÁC KHUYẾN CÁO MỚI VỀ CHỈ ĐỊNH CỦA KHÁNG SINH AZITHROMYCIN TẠI CHÂU ÂU: THÔNG TIN TỪ EMA</w:t>
      </w:r>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xml:space="preserve">Ủy ban thuốc sử dụng cho người (CHMP) thuộc EMA đã đưa ra một số khuyến cáo mới về việc sử dụng kháng sinh azithromycin ở Châu Âu. </w:t>
      </w:r>
      <w:proofErr w:type="gramStart"/>
      <w:r w:rsidRPr="004B54FE">
        <w:rPr>
          <w:rFonts w:ascii="Times New Roman" w:eastAsia="Times New Roman" w:hAnsi="Times New Roman" w:cs="Times New Roman"/>
          <w:sz w:val="28"/>
          <w:szCs w:val="28"/>
        </w:rPr>
        <w:t>Cụ thể, CHMP đề xuất hạn chế một số chỉ định của azithromycin, nhằm tối ưu việc sử dụng kháng sinh này và giảm thiểu gia tăng đề kháng azithromycin.</w:t>
      </w:r>
      <w:proofErr w:type="gramEnd"/>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4B54FE">
        <w:rPr>
          <w:rFonts w:ascii="Times New Roman" w:eastAsia="Times New Roman" w:hAnsi="Times New Roman" w:cs="Times New Roman"/>
          <w:sz w:val="28"/>
          <w:szCs w:val="28"/>
        </w:rPr>
        <w:t>Hiện nay, azithromycin đang được sử dụng rất phổ biến trong điều trị và thuộc Danh mục thuốc Thiết yếu của Tổ chức Y tế Thế giới (WHO).</w:t>
      </w:r>
      <w:proofErr w:type="gramEnd"/>
      <w:r w:rsidRPr="004B54FE">
        <w:rPr>
          <w:rFonts w:ascii="Times New Roman" w:eastAsia="Times New Roman" w:hAnsi="Times New Roman" w:cs="Times New Roman"/>
          <w:sz w:val="28"/>
          <w:szCs w:val="28"/>
        </w:rPr>
        <w:t xml:space="preserve"> Azithromycin thuộc top 5 kháng sinh được kê đơn nhiều nhất ở 5 quốc gia Châu Âu (Pháp, Vương quốc Anh, Đức, Tây Ban Nha và Hà </w:t>
      </w:r>
      <w:proofErr w:type="gramStart"/>
      <w:r w:rsidRPr="004B54FE">
        <w:rPr>
          <w:rFonts w:ascii="Times New Roman" w:eastAsia="Times New Roman" w:hAnsi="Times New Roman" w:cs="Times New Roman"/>
          <w:sz w:val="28"/>
          <w:szCs w:val="28"/>
        </w:rPr>
        <w:t>Lan</w:t>
      </w:r>
      <w:proofErr w:type="gramEnd"/>
      <w:r w:rsidRPr="004B54FE">
        <w:rPr>
          <w:rFonts w:ascii="Times New Roman" w:eastAsia="Times New Roman" w:hAnsi="Times New Roman" w:cs="Times New Roman"/>
          <w:sz w:val="28"/>
          <w:szCs w:val="28"/>
        </w:rPr>
        <w:t xml:space="preserve">) giai đoạn 2012 đến 2021. </w:t>
      </w:r>
      <w:proofErr w:type="gramStart"/>
      <w:r w:rsidRPr="004B54FE">
        <w:rPr>
          <w:rFonts w:ascii="Times New Roman" w:eastAsia="Times New Roman" w:hAnsi="Times New Roman" w:cs="Times New Roman"/>
          <w:sz w:val="28"/>
          <w:szCs w:val="28"/>
        </w:rPr>
        <w:t>Đồng thời, dữ liệu từ các Cơ sở dữ liệu ATLAS và SENTRY tại cùng thời điểm cũng ghi nhận được sự gia tăng đề kháng azithromycin trên toàn cầu.</w:t>
      </w:r>
      <w:proofErr w:type="gramEnd"/>
      <w:r w:rsidRPr="004B54FE">
        <w:rPr>
          <w:rFonts w:ascii="Times New Roman" w:eastAsia="Times New Roman" w:hAnsi="Times New Roman" w:cs="Times New Roman"/>
          <w:sz w:val="28"/>
          <w:szCs w:val="28"/>
        </w:rPr>
        <w:t xml:space="preserve"> Sự gia tăng này có mối liên quan với các chỉ định của azithromycin được phê duyệt tại Châu Âu. </w:t>
      </w:r>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Do đó, với mục đích tăng cường sử dụng thuốc hợp lý và đảm bảo hiệu quả điều trị của các kháng sinh macrolid, CHMP đã tiến hành đánh giá lại lợi ích và nguy cơ của azithromycin (bao gồm cả dạng đường uống và đường truyền tĩnh mạch). Toàn bộ dữ liệu sẵn có đều được đưa vào đánh giá, bao gồm kết quả từ các nghiên cứu lâm sàng, dịch tễ kháng thuốc của các tác nhân gây bệnh liên quan đến các chỉ định đã được phê duyệt tại Châu Âu, đánh giá nguy cơ kháng thuốc trong quá trình điều trị, các khuyến nghị trong hướng dẫn điều trị của các quốc gia và của toàn Châu Âu (EU).</w:t>
      </w:r>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r w:rsidRPr="00B50A11">
        <w:rPr>
          <w:rFonts w:ascii="Times New Roman" w:eastAsia="Times New Roman" w:hAnsi="Times New Roman" w:cs="Times New Roman"/>
          <w:b/>
          <w:bCs/>
          <w:i/>
          <w:iCs/>
          <w:sz w:val="28"/>
          <w:szCs w:val="28"/>
        </w:rPr>
        <w:t>Cập nhật khuyến cáo mới về chỉ định </w:t>
      </w:r>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4B54FE">
        <w:rPr>
          <w:rFonts w:ascii="Times New Roman" w:eastAsia="Times New Roman" w:hAnsi="Times New Roman" w:cs="Times New Roman"/>
          <w:sz w:val="28"/>
          <w:szCs w:val="28"/>
        </w:rPr>
        <w:t>Dựa trên đánh giá toàn diện này, CHMP khuyến nghị cập nhật phần lớn các chỉ định của azithromycin đường uống và đường truyền tĩnh mạch.</w:t>
      </w:r>
      <w:proofErr w:type="gramEnd"/>
      <w:r w:rsidRPr="004B54FE">
        <w:rPr>
          <w:rFonts w:ascii="Times New Roman" w:eastAsia="Times New Roman" w:hAnsi="Times New Roman" w:cs="Times New Roman"/>
          <w:sz w:val="28"/>
          <w:szCs w:val="28"/>
        </w:rPr>
        <w:t xml:space="preserve"> Cùng với đó, các cập nhật này cũng được điều chỉnh phù hợp nhất dựa trên các khuyến nghị về liều lượng và chống chỉ định, tương tác, sử dụng trong thai kỳ, tác dụng không mong muốn và dữ liệu từ các nghiên cứu lâm sàng đối với tất cả các chế phẩm azithromycin đang lưu hành. Cụ thể, các chỉ định quan trọng được rà soát và cập nhật như sau:</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lastRenderedPageBreak/>
        <w:t>- Nhiễm khuẩn hô hấp trên và dưới (nhiễm trùng mũi, họng, khí quản và phổi): viêm xoang cấp tính do vi khuẩn, viêm amidan và viêm họng cấp do liên cầu khuẩn, đợt cấp của viêm phế quản mãn tính và viêm phổi mắc phải trong cộng đồng;</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Các bệnh lây qua đường tình dục: viêm niệu đạo và viêm cổ tử cung do Chlamydia trachomatis hoặc Neisseria gonorrhoeae;</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Nhiễm khuẩn phụ khoa: viêm vùng chậu;</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xml:space="preserve">- Nhiễm khuẩn răng: áp </w:t>
      </w:r>
      <w:proofErr w:type="gramStart"/>
      <w:r w:rsidRPr="004B54FE">
        <w:rPr>
          <w:rFonts w:ascii="Times New Roman" w:eastAsia="Times New Roman" w:hAnsi="Times New Roman" w:cs="Times New Roman"/>
          <w:sz w:val="28"/>
          <w:szCs w:val="28"/>
        </w:rPr>
        <w:t>xe</w:t>
      </w:r>
      <w:proofErr w:type="gramEnd"/>
      <w:r w:rsidRPr="004B54FE">
        <w:rPr>
          <w:rFonts w:ascii="Times New Roman" w:eastAsia="Times New Roman" w:hAnsi="Times New Roman" w:cs="Times New Roman"/>
          <w:sz w:val="28"/>
          <w:szCs w:val="28"/>
        </w:rPr>
        <w:t xml:space="preserve"> nha chu và viêm nha chu.</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proofErr w:type="gramStart"/>
      <w:r w:rsidRPr="004B54FE">
        <w:rPr>
          <w:rFonts w:ascii="Times New Roman" w:eastAsia="Times New Roman" w:hAnsi="Times New Roman" w:cs="Times New Roman"/>
          <w:sz w:val="28"/>
          <w:szCs w:val="28"/>
        </w:rPr>
        <w:t>- Điều trị và dự phòng các loại nhiễm khuẩn phức tạp gây bởi Mycobacterium avium trên bệnh nhân nhiễm HIV-1.</w:t>
      </w:r>
      <w:proofErr w:type="gramEnd"/>
    </w:p>
    <w:p w:rsidR="004B54FE" w:rsidRPr="004B54FE" w:rsidRDefault="004B54FE" w:rsidP="004B54FE">
      <w:pPr>
        <w:shd w:val="clear" w:color="auto" w:fill="FFFFFF"/>
        <w:spacing w:after="0" w:line="240" w:lineRule="auto"/>
        <w:ind w:firstLine="720"/>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Ngoài ra, CHMP khuyến cáo không sử dụng azithromycin đường uống trong các trường hợp sau:</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Mụn trứng cá mức độ trung bình, nguyên nhân do tắc nghẽn lỗ chân lông bởi dầu thừa và tế bào chết; </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xml:space="preserve">- Diệt trừ </w:t>
      </w:r>
      <w:proofErr w:type="gramStart"/>
      <w:r w:rsidRPr="004B54FE">
        <w:rPr>
          <w:rFonts w:ascii="Times New Roman" w:eastAsia="Times New Roman" w:hAnsi="Times New Roman" w:cs="Times New Roman"/>
          <w:sz w:val="28"/>
          <w:szCs w:val="28"/>
        </w:rPr>
        <w:t>vi</w:t>
      </w:r>
      <w:proofErr w:type="gramEnd"/>
      <w:r w:rsidRPr="004B54FE">
        <w:rPr>
          <w:rFonts w:ascii="Times New Roman" w:eastAsia="Times New Roman" w:hAnsi="Times New Roman" w:cs="Times New Roman"/>
          <w:sz w:val="28"/>
          <w:szCs w:val="28"/>
        </w:rPr>
        <w:t xml:space="preserve"> khuẩn Helicobacter pylori gây nhiễm khuẩn dạ dày dẫn đến tình trạng viêm và loét dạ dày mạn tính;</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Dự phòng cơn hen cấp có/không kèm tăng bạch cầu ái toan.</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proofErr w:type="gramStart"/>
      <w:r w:rsidRPr="004B54FE">
        <w:rPr>
          <w:rFonts w:ascii="Times New Roman" w:eastAsia="Times New Roman" w:hAnsi="Times New Roman" w:cs="Times New Roman"/>
          <w:sz w:val="28"/>
          <w:szCs w:val="28"/>
        </w:rPr>
        <w:t>CHMP cũng yêu cầu nhấn mạnh về nguy cơ kháng kháng sinh trong thông tin sản phẩm.</w:t>
      </w:r>
      <w:proofErr w:type="gramEnd"/>
      <w:r w:rsidRPr="004B54FE">
        <w:rPr>
          <w:rFonts w:ascii="Times New Roman" w:eastAsia="Times New Roman" w:hAnsi="Times New Roman" w:cs="Times New Roman"/>
          <w:sz w:val="28"/>
          <w:szCs w:val="28"/>
        </w:rPr>
        <w:t xml:space="preserve"> Theo đó, azithromycin có thể thúc đẩy tình trạng kháng thuốc do nồng độ thuốc trong huyết thanh và mô vẫn duy trì ở mức thấp trong một khoảng thời gian dài sau khi đã ngừng thuốc. Cảnh báo mới này nhấn mạnh azithromycin chỉ nên sử dụng khi đã cân nhắc cẩn thận lợi ích và nguy cơ, dịch tễ kháng thuốc tại cơ sở và trong trường hợp phác đồ điều trị đầu </w:t>
      </w:r>
      <w:proofErr w:type="gramStart"/>
      <w:r w:rsidRPr="004B54FE">
        <w:rPr>
          <w:rFonts w:ascii="Times New Roman" w:eastAsia="Times New Roman" w:hAnsi="Times New Roman" w:cs="Times New Roman"/>
          <w:sz w:val="28"/>
          <w:szCs w:val="28"/>
        </w:rPr>
        <w:t>tay</w:t>
      </w:r>
      <w:proofErr w:type="gramEnd"/>
      <w:r w:rsidRPr="004B54FE">
        <w:rPr>
          <w:rFonts w:ascii="Times New Roman" w:eastAsia="Times New Roman" w:hAnsi="Times New Roman" w:cs="Times New Roman"/>
          <w:sz w:val="28"/>
          <w:szCs w:val="28"/>
        </w:rPr>
        <w:t xml:space="preserve"> không phù hợp.</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b/>
          <w:bCs/>
          <w:i/>
          <w:iCs/>
          <w:sz w:val="28"/>
          <w:szCs w:val="28"/>
        </w:rPr>
        <w:t>Khuyến cáo dành cho nhân viên y tế:</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xml:space="preserve">- Khuyến cáo không chỉ định azithromycin đường uống trong điều trị mụn trứng cá mức độ trung bình, diệt trừ </w:t>
      </w:r>
      <w:proofErr w:type="gramStart"/>
      <w:r w:rsidRPr="004B54FE">
        <w:rPr>
          <w:rFonts w:ascii="Times New Roman" w:eastAsia="Times New Roman" w:hAnsi="Times New Roman" w:cs="Times New Roman"/>
          <w:sz w:val="28"/>
          <w:szCs w:val="28"/>
        </w:rPr>
        <w:t>vi</w:t>
      </w:r>
      <w:proofErr w:type="gramEnd"/>
      <w:r w:rsidRPr="004B54FE">
        <w:rPr>
          <w:rFonts w:ascii="Times New Roman" w:eastAsia="Times New Roman" w:hAnsi="Times New Roman" w:cs="Times New Roman"/>
          <w:sz w:val="28"/>
          <w:szCs w:val="28"/>
        </w:rPr>
        <w:t xml:space="preserve"> khuẩn Helicobacter pylori và dự phòng các đợt hen cấp có/không kèm theo tăng bạch cầu ái toan. </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Cập nhật cảnh báo mới về nguy cơ gia tăng đề kháng kháng sinh trong thông tin sản phẩm của azithromycin</w:t>
      </w:r>
    </w:p>
    <w:p w:rsidR="004B54FE" w:rsidRPr="004B54FE" w:rsidRDefault="004B54FE" w:rsidP="004B54FE">
      <w:pPr>
        <w:shd w:val="clear" w:color="auto" w:fill="FFFFFF"/>
        <w:spacing w:after="0" w:line="240" w:lineRule="auto"/>
        <w:jc w:val="both"/>
        <w:rPr>
          <w:rFonts w:ascii="Times New Roman" w:eastAsia="Times New Roman" w:hAnsi="Times New Roman" w:cs="Times New Roman"/>
          <w:sz w:val="28"/>
          <w:szCs w:val="28"/>
        </w:rPr>
      </w:pPr>
      <w:r w:rsidRPr="004B54FE">
        <w:rPr>
          <w:rFonts w:ascii="Times New Roman" w:eastAsia="Times New Roman" w:hAnsi="Times New Roman" w:cs="Times New Roman"/>
          <w:sz w:val="28"/>
          <w:szCs w:val="28"/>
        </w:rPr>
        <w:t>- Cân nhắc cẩn thận lợi ích và nguy cơ, dịch tễ kháng thuốc tại cơ sở, các thuốc lựa chọn ưu tiên khác trước khi kê đơn azithromycin. </w:t>
      </w:r>
    </w:p>
    <w:p w:rsidR="00B50A11" w:rsidRPr="00B50A11" w:rsidRDefault="00B50A11" w:rsidP="00B50A11">
      <w:pPr>
        <w:pStyle w:val="NormalWeb"/>
        <w:shd w:val="clear" w:color="auto" w:fill="FFFFFF"/>
        <w:spacing w:before="0" w:beforeAutospacing="0" w:after="0" w:afterAutospacing="0"/>
        <w:jc w:val="both"/>
        <w:rPr>
          <w:color w:val="FF0000"/>
          <w:sz w:val="28"/>
          <w:szCs w:val="28"/>
        </w:rPr>
      </w:pPr>
      <w:r w:rsidRPr="00B50A11">
        <w:rPr>
          <w:color w:val="FF0000"/>
          <w:sz w:val="28"/>
          <w:szCs w:val="28"/>
          <w:highlight w:val="yellow"/>
        </w:rPr>
        <w:t>IV.</w:t>
      </w:r>
      <w:r w:rsidRPr="00B50A11">
        <w:rPr>
          <w:b/>
          <w:bCs/>
          <w:color w:val="FF0000"/>
          <w:sz w:val="28"/>
          <w:szCs w:val="28"/>
          <w:highlight w:val="yellow"/>
        </w:rPr>
        <w:t>KHUYẾN CÁO KHÔNG SỬ DỤNG AMPHETAMIN VÀ METHYLPHENIDAT DẠNG GIẢI PHÓNG KÉO DÀI TRONG ĐIỀU TRỊ ADHD Ở TRẺ DƯỚI 6 TUỔI: THÔNG TIN TỪ CƠ QUAN QUẢN LÝ THỰC PHẨM VÀ DƯỢC PHẨM (FDA) HOA KỲ</w:t>
      </w:r>
    </w:p>
    <w:p w:rsidR="00B50A11" w:rsidRPr="00B50A11" w:rsidRDefault="00B50A11" w:rsidP="00B50A11">
      <w:pPr>
        <w:shd w:val="clear" w:color="auto" w:fill="FFFFFF"/>
        <w:spacing w:after="0" w:line="240" w:lineRule="auto"/>
        <w:ind w:firstLine="720"/>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xml:space="preserve">Các thuốc kích thích thần kinh trung ương (TKTƯ) chứa amphetamin, methylphenidat dạng giải phóng kéo dài là liệu pháp đầu </w:t>
      </w:r>
      <w:proofErr w:type="gramStart"/>
      <w:r w:rsidRPr="00B50A11">
        <w:rPr>
          <w:rFonts w:ascii="Times New Roman" w:eastAsia="Times New Roman" w:hAnsi="Times New Roman" w:cs="Times New Roman"/>
          <w:sz w:val="28"/>
          <w:szCs w:val="28"/>
        </w:rPr>
        <w:t>tay</w:t>
      </w:r>
      <w:proofErr w:type="gramEnd"/>
      <w:r w:rsidRPr="00B50A11">
        <w:rPr>
          <w:rFonts w:ascii="Times New Roman" w:eastAsia="Times New Roman" w:hAnsi="Times New Roman" w:cs="Times New Roman"/>
          <w:sz w:val="28"/>
          <w:szCs w:val="28"/>
        </w:rPr>
        <w:t xml:space="preserve"> điều trị rối loạn tăng động giảm chú ý (attention-deficit/hyperactivity disorder - ADHD). ADHD là một rối loạn thần kinh phổ biến ở trẻ em và gây ảnh hưởng đến khả năng tập trung, làm </w:t>
      </w:r>
      <w:proofErr w:type="gramStart"/>
      <w:r w:rsidRPr="00B50A11">
        <w:rPr>
          <w:rFonts w:ascii="Times New Roman" w:eastAsia="Times New Roman" w:hAnsi="Times New Roman" w:cs="Times New Roman"/>
          <w:sz w:val="28"/>
          <w:szCs w:val="28"/>
        </w:rPr>
        <w:t>theo</w:t>
      </w:r>
      <w:proofErr w:type="gramEnd"/>
      <w:r w:rsidRPr="00B50A11">
        <w:rPr>
          <w:rFonts w:ascii="Times New Roman" w:eastAsia="Times New Roman" w:hAnsi="Times New Roman" w:cs="Times New Roman"/>
          <w:sz w:val="28"/>
          <w:szCs w:val="28"/>
        </w:rPr>
        <w:t xml:space="preserve"> hướng dẫn và hoàn thành nhiệm vụ, có thể kéo dài đến tuổi trưởng thành. Ở Hoa Kỳ, ước tính có khoảng 7 triệu (11</w:t>
      </w:r>
      <w:proofErr w:type="gramStart"/>
      <w:r w:rsidRPr="00B50A11">
        <w:rPr>
          <w:rFonts w:ascii="Times New Roman" w:eastAsia="Times New Roman" w:hAnsi="Times New Roman" w:cs="Times New Roman"/>
          <w:sz w:val="28"/>
          <w:szCs w:val="28"/>
        </w:rPr>
        <w:t>,4</w:t>
      </w:r>
      <w:proofErr w:type="gramEnd"/>
      <w:r w:rsidRPr="00B50A11">
        <w:rPr>
          <w:rFonts w:ascii="Times New Roman" w:eastAsia="Times New Roman" w:hAnsi="Times New Roman" w:cs="Times New Roman"/>
          <w:sz w:val="28"/>
          <w:szCs w:val="28"/>
        </w:rPr>
        <w:t>%) trẻ em từ 3 đến 17 tuổi được chẩn đoán ADHD, trong đó, chẩn đoán này thường gặp ở các bé trai (15%) hơn các bé gái (8%). </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proofErr w:type="gramStart"/>
      <w:r w:rsidRPr="00B50A11">
        <w:rPr>
          <w:rFonts w:ascii="Times New Roman" w:eastAsia="Times New Roman" w:hAnsi="Times New Roman" w:cs="Times New Roman"/>
          <w:sz w:val="28"/>
          <w:szCs w:val="28"/>
        </w:rPr>
        <w:lastRenderedPageBreak/>
        <w:t>Các thuốc giải phóng kéo dài có nhiều dạng bào chế khác nhau, bao gồm viên nén, viên nang, miếng dán qua da và hỗn dịch uống.</w:t>
      </w:r>
      <w:proofErr w:type="gramEnd"/>
      <w:r w:rsidRPr="00B50A11">
        <w:rPr>
          <w:rFonts w:ascii="Times New Roman" w:eastAsia="Times New Roman" w:hAnsi="Times New Roman" w:cs="Times New Roman"/>
          <w:sz w:val="28"/>
          <w:szCs w:val="28"/>
        </w:rPr>
        <w:t xml:space="preserve"> </w:t>
      </w:r>
      <w:proofErr w:type="gramStart"/>
      <w:r w:rsidRPr="00B50A11">
        <w:rPr>
          <w:rFonts w:ascii="Times New Roman" w:eastAsia="Times New Roman" w:hAnsi="Times New Roman" w:cs="Times New Roman"/>
          <w:sz w:val="28"/>
          <w:szCs w:val="28"/>
        </w:rPr>
        <w:t>Hầu hết các chế phẩm này được sử dụng một lần mỗi ngày.</w:t>
      </w:r>
      <w:proofErr w:type="gramEnd"/>
      <w:r w:rsidRPr="00B50A11">
        <w:rPr>
          <w:rFonts w:ascii="Times New Roman" w:eastAsia="Times New Roman" w:hAnsi="Times New Roman" w:cs="Times New Roman"/>
          <w:sz w:val="28"/>
          <w:szCs w:val="28"/>
        </w:rPr>
        <w:t xml:space="preserve"> Một số tác dụng không mong muốn thường gặp của các thuốc này bao gồm sụt cân, mất ngủ, chán ăn.</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b/>
          <w:bCs/>
          <w:i/>
          <w:iCs/>
          <w:sz w:val="28"/>
          <w:szCs w:val="28"/>
        </w:rPr>
        <w:t>Cảnh báo từ FDA Hoa Kỳ:</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Sau khi đánh giá dữ liệu từ các thử nghiệm lâm sàng ở nhóm trẻ từ 4 - 6 tuổi, FDA Hoa Kỳ kết luận: Khi sử dụng cùng mức liều, nhóm trẻ dưới 6 tuổi có nguy cơ nồng độ thuốc trong huyết thanh cao hơn so với nhóm trẻ lớn hơn. Nồng độ thuốc cao hơn có mối liên quan với tăng nguy cơ gặp tác dụng không mong muốn. Đặc biệt, biến cố sụt cân có ý nghĩa lâm sàng (giảm ít nhất 10% bách phân vị) đã được ghi nhận cả khi sử dụng ngắn hạn và dài hạn các thuốc kích thích TKTƯ dạng giải phóng kéo dài. Do hồ sơ an toàn của amphetamin và methylphenidat về cơ bản tương tự nhau, đồng thời dược lực học của thuốc có mối liên quan chặt chẽ với đặc điểm dược động học, FDA Hoa Kỳ nhận định rằng các kết quả đánh giá này có thể áp dụng cho tất cả các dạng bào chế giải phóng kéo dài của amphetamin và methylphenidat.</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proofErr w:type="gramStart"/>
      <w:r w:rsidRPr="00B50A11">
        <w:rPr>
          <w:rFonts w:ascii="Times New Roman" w:eastAsia="Times New Roman" w:hAnsi="Times New Roman" w:cs="Times New Roman"/>
          <w:sz w:val="28"/>
          <w:szCs w:val="28"/>
        </w:rPr>
        <w:t>FDA Hoa Kỳ kết luận lợi ích của việc sử dụng amphetamin và methylphenidat dạng giải phóng kéo dài trong điêu trị ADHD không vượt trội hơn nguy cơ trên trẻ em dưới 6 tuổi.</w:t>
      </w:r>
      <w:proofErr w:type="gramEnd"/>
      <w:r w:rsidRPr="00B50A11">
        <w:rPr>
          <w:rFonts w:ascii="Times New Roman" w:eastAsia="Times New Roman" w:hAnsi="Times New Roman" w:cs="Times New Roman"/>
          <w:sz w:val="28"/>
          <w:szCs w:val="28"/>
        </w:rPr>
        <w:t> Mặc dù, các thuốc kích thích TKTƯ dạng giải phóng kéo dài hiện tại chưa được cấp phép cho trẻ em dưới 6 tuổi, tuy nhiên, Cơ quan này vẫn ghi nhận được các trường hợp sử dụng thuốc ngoài chỉ định được cấp phép để điều trị ADHD. Do đó, FDA Hoa Kỳ yêu cầu cập nhật thông tin sản phẩm của tất cả các thuốc kích thích thần kinh trung ương chứa amphetamin và methylphenidat dạng giải phóng kéo dài, để bổ sung cảnh báo về nguy cơ sụt cân và các tác dụng không mong muốn khác khi sử dụng cho trẻ dưới 6 tuổi.</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b/>
          <w:bCs/>
          <w:i/>
          <w:iCs/>
          <w:sz w:val="28"/>
          <w:szCs w:val="28"/>
        </w:rPr>
        <w:t>Khuyến cáo dành cho nhân viên y tế:</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Không chỉ định các thuốc kích thích TKTƯ dạng giải phóng kéo dài (amphetamin và methylphenidat) để điều trị ADHD ở trẻ em dưới 6 tuổi.</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Lưu ý rằng trẻ em dưới 6 tuổi có nồng độ thuốc trong huyết thanh cao hơn và tỷ lệ gặp tác dụng không mong muốn cao hơn so với nhóm trẻ lớn hơn khi sử dụng cùng liều lượng và cùng loại thuốc.</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Ngừng thuốc và cân nhắc liệu pháp thay thế khi trẻ dưới 6 tuổi có biểu hiện sút cân hoặc gặp các biến cố bất lợi khác trong quá trình sử dụng thuốc.</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xml:space="preserve">- Cân nhắc lựa chọn các liệu pháp điều trị ADHD khác (như dạng giải phóng tức thì) hoặc liệu pháp điều chỉnh hành </w:t>
      </w:r>
      <w:proofErr w:type="gramStart"/>
      <w:r w:rsidRPr="00B50A11">
        <w:rPr>
          <w:rFonts w:ascii="Times New Roman" w:eastAsia="Times New Roman" w:hAnsi="Times New Roman" w:cs="Times New Roman"/>
          <w:sz w:val="28"/>
          <w:szCs w:val="28"/>
        </w:rPr>
        <w:t>vi</w:t>
      </w:r>
      <w:proofErr w:type="gramEnd"/>
      <w:r w:rsidRPr="00B50A11">
        <w:rPr>
          <w:rFonts w:ascii="Times New Roman" w:eastAsia="Times New Roman" w:hAnsi="Times New Roman" w:cs="Times New Roman"/>
          <w:sz w:val="28"/>
          <w:szCs w:val="28"/>
        </w:rPr>
        <w:t xml:space="preserve"> cho trẻ mắc ADHD.</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Theo dõi sự tăng trưởng và phát triển của trẻ, đồng thời có biện pháp xử trí phù hợp để giảm thiểu tình trạng sút cân ở trẻ.</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Báo cáo các phản ứng có hại nghi ngờ do các thuốc kích thích TKTƯ dạng giải phóng kéo dài hoặc các loại thuốc khác.</w:t>
      </w:r>
    </w:p>
    <w:p w:rsidR="00B50A11" w:rsidRPr="00B50A11" w:rsidRDefault="00B50A11" w:rsidP="00B50A11">
      <w:pPr>
        <w:shd w:val="clear" w:color="auto" w:fill="FFFFFF"/>
        <w:spacing w:after="0" w:line="240" w:lineRule="auto"/>
        <w:jc w:val="both"/>
        <w:rPr>
          <w:rFonts w:ascii="Times New Roman" w:eastAsia="Times New Roman" w:hAnsi="Times New Roman" w:cs="Times New Roman"/>
          <w:color w:val="FF0000"/>
          <w:sz w:val="28"/>
          <w:szCs w:val="28"/>
        </w:rPr>
      </w:pPr>
      <w:r w:rsidRPr="00B50A11">
        <w:rPr>
          <w:rFonts w:ascii="Times New Roman" w:eastAsia="Times New Roman" w:hAnsi="Times New Roman" w:cs="Times New Roman"/>
          <w:sz w:val="28"/>
          <w:szCs w:val="28"/>
        </w:rPr>
        <w:t> </w:t>
      </w:r>
      <w:r w:rsidRPr="00B50A11">
        <w:rPr>
          <w:rFonts w:ascii="Times New Roman" w:eastAsia="Times New Roman" w:hAnsi="Times New Roman" w:cs="Times New Roman"/>
          <w:color w:val="FF0000"/>
          <w:sz w:val="28"/>
          <w:szCs w:val="28"/>
          <w:highlight w:val="yellow"/>
        </w:rPr>
        <w:t>V.</w:t>
      </w:r>
      <w:r w:rsidRPr="00B50A11">
        <w:rPr>
          <w:rFonts w:ascii="Times New Roman" w:eastAsia="Times New Roman" w:hAnsi="Times New Roman" w:cs="Times New Roman"/>
          <w:b/>
          <w:bCs/>
          <w:color w:val="FF0000"/>
          <w:sz w:val="28"/>
          <w:szCs w:val="28"/>
          <w:highlight w:val="yellow"/>
        </w:rPr>
        <w:t>CẢNH BÁO VỀ CÁC TÁC DỤNG KHÔNG MONG MUỐN TRÊN TIÊU HÓA KHI SỬ DỤNG THUỐC CHỦ VẬN THỤ THỂ GLP-1: THÔNG TIN TỪ CƠ QUAN QUẢN LÝ DƯỢC PHẨM NEW ZEALAND (MEDSAFE)</w:t>
      </w:r>
    </w:p>
    <w:p w:rsidR="00B50A11" w:rsidRPr="00B50A11" w:rsidRDefault="00B50A11" w:rsidP="00B50A11">
      <w:pPr>
        <w:shd w:val="clear" w:color="auto" w:fill="FFFFFF"/>
        <w:spacing w:after="0" w:line="240" w:lineRule="auto"/>
        <w:ind w:firstLine="720"/>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lastRenderedPageBreak/>
        <w:t xml:space="preserve">Thuốc chủ vận thụ thể GLP-1 được chỉ định trong điều trị đái tháo đường týp 2 và kiểm soát cân nặng. </w:t>
      </w:r>
      <w:proofErr w:type="gramStart"/>
      <w:r w:rsidRPr="00B50A11">
        <w:rPr>
          <w:rFonts w:ascii="Times New Roman" w:eastAsia="Times New Roman" w:hAnsi="Times New Roman" w:cs="Times New Roman"/>
          <w:sz w:val="28"/>
          <w:szCs w:val="28"/>
        </w:rPr>
        <w:t>Các thuốc chủ vận thụ thể GLP-1 có cơ chế tác dụng tương tự hormon GLP-1, gây kích thích tăng tiết insulin, ức chế tiết glucagon và làm chậm quá trình tháo rỗng dạ dày.</w:t>
      </w:r>
      <w:proofErr w:type="gramEnd"/>
      <w:r w:rsidRPr="00B50A11">
        <w:rPr>
          <w:rFonts w:ascii="Times New Roman" w:eastAsia="Times New Roman" w:hAnsi="Times New Roman" w:cs="Times New Roman"/>
          <w:sz w:val="28"/>
          <w:szCs w:val="28"/>
        </w:rPr>
        <w:t xml:space="preserve"> Nhóm thuốc này có thể được sử dụng đơn trị liệu hoặc kết hợp với các nhóm thuốc khác trong điểu trị đái tháo đường týp 2.</w:t>
      </w:r>
    </w:p>
    <w:p w:rsidR="00B50A11" w:rsidRPr="00B50A11" w:rsidRDefault="00B50A11" w:rsidP="00B50A11">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B50A11">
        <w:rPr>
          <w:rFonts w:ascii="Times New Roman" w:eastAsia="Times New Roman" w:hAnsi="Times New Roman" w:cs="Times New Roman"/>
          <w:sz w:val="28"/>
          <w:szCs w:val="28"/>
        </w:rPr>
        <w:t>Rối loạn tiêu hóa là các phản ứng có hại thường gặp, nhưng ít nghiêm trọng liên quan đến các thuốc chủ vận thụ thể GLP-1.</w:t>
      </w:r>
      <w:proofErr w:type="gramEnd"/>
      <w:r w:rsidRPr="00B50A11">
        <w:rPr>
          <w:rFonts w:ascii="Times New Roman" w:eastAsia="Times New Roman" w:hAnsi="Times New Roman" w:cs="Times New Roman"/>
          <w:sz w:val="28"/>
          <w:szCs w:val="28"/>
        </w:rPr>
        <w:t xml:space="preserve"> </w:t>
      </w:r>
      <w:proofErr w:type="gramStart"/>
      <w:r w:rsidRPr="00B50A11">
        <w:rPr>
          <w:rFonts w:ascii="Times New Roman" w:eastAsia="Times New Roman" w:hAnsi="Times New Roman" w:cs="Times New Roman"/>
          <w:sz w:val="28"/>
          <w:szCs w:val="28"/>
        </w:rPr>
        <w:t>Tuy nhiên, trong một số trường hợp các triệu chứng như buồn nôn, nôn và tiêu chảy có thể kéo dài vài ngày trong quá trình điều trị, đặc biệt là ở giai đoạn khởi đầu điều trị.</w:t>
      </w:r>
      <w:proofErr w:type="gramEnd"/>
      <w:r w:rsidRPr="00B50A11">
        <w:rPr>
          <w:rFonts w:ascii="Times New Roman" w:eastAsia="Times New Roman" w:hAnsi="Times New Roman" w:cs="Times New Roman"/>
          <w:sz w:val="28"/>
          <w:szCs w:val="28"/>
        </w:rPr>
        <w:t xml:space="preserve"> </w:t>
      </w:r>
      <w:proofErr w:type="gramStart"/>
      <w:r w:rsidRPr="00B50A11">
        <w:rPr>
          <w:rFonts w:ascii="Times New Roman" w:eastAsia="Times New Roman" w:hAnsi="Times New Roman" w:cs="Times New Roman"/>
          <w:sz w:val="28"/>
          <w:szCs w:val="28"/>
        </w:rPr>
        <w:t>Các biến cố bất lợi trên hệ tiêu hóa kéo dài có thể dẫn đến tình trạng mất nước, nguy cơ tổn thương thận cấp hoặc làm trầm trọng thêm các bệnh thận mạn tính.</w:t>
      </w:r>
      <w:proofErr w:type="gramEnd"/>
      <w:r w:rsidRPr="00B50A11">
        <w:rPr>
          <w:rFonts w:ascii="Times New Roman" w:eastAsia="Times New Roman" w:hAnsi="Times New Roman" w:cs="Times New Roman"/>
          <w:sz w:val="28"/>
          <w:szCs w:val="28"/>
        </w:rPr>
        <w:t> </w:t>
      </w:r>
    </w:p>
    <w:p w:rsidR="00B50A11" w:rsidRPr="00B50A11" w:rsidRDefault="00B50A11" w:rsidP="00B50A11">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B50A11">
        <w:rPr>
          <w:rFonts w:ascii="Times New Roman" w:eastAsia="Times New Roman" w:hAnsi="Times New Roman" w:cs="Times New Roman"/>
          <w:sz w:val="28"/>
          <w:szCs w:val="28"/>
        </w:rPr>
        <w:t>Từ thời điểm các thuốc chủ vận thụ thể GLP-1 được cấp phép tại New Zealand vào tháng 5/2007 đến ngày 31/03/2025, Medsafe đã ghi nhận được 111 báo cáo rối loạn tiêu hóa liên quan thuốc chủ vận thụ thể GLP-1.</w:t>
      </w:r>
      <w:proofErr w:type="gramEnd"/>
      <w:r w:rsidRPr="00B50A11">
        <w:rPr>
          <w:rFonts w:ascii="Times New Roman" w:eastAsia="Times New Roman" w:hAnsi="Times New Roman" w:cs="Times New Roman"/>
          <w:sz w:val="28"/>
          <w:szCs w:val="28"/>
        </w:rPr>
        <w:t xml:space="preserve"> Trong đó, 63 báo cáo về dulaglutid, 38 báo cáo về liraglutid, 5 báo cáo về semaglutid (hiện không được lưu hành) và 5 báo cáo về exenatid (đã hết hạn lưu hành). </w:t>
      </w:r>
      <w:proofErr w:type="gramStart"/>
      <w:r w:rsidRPr="00B50A11">
        <w:rPr>
          <w:rFonts w:ascii="Times New Roman" w:eastAsia="Times New Roman" w:hAnsi="Times New Roman" w:cs="Times New Roman"/>
          <w:sz w:val="28"/>
          <w:szCs w:val="28"/>
        </w:rPr>
        <w:t>Các phản ứng được báo cáo thường xuyên nhất bao gồm buồn nôn (29 báo cáo), nôn (24 báo cáo) và tiêu chảy (20 báo cáo).</w:t>
      </w:r>
      <w:proofErr w:type="gramEnd"/>
      <w:r w:rsidRPr="00B50A11">
        <w:rPr>
          <w:rFonts w:ascii="Times New Roman" w:eastAsia="Times New Roman" w:hAnsi="Times New Roman" w:cs="Times New Roman"/>
          <w:sz w:val="28"/>
          <w:szCs w:val="28"/>
        </w:rPr>
        <w:t xml:space="preserve"> Ngoài ra, 11 báo cáo ghi nhận tổn thương thận, trong đó thuốc nghi ngờ bao gồm: dulaglutid (7 báo cáo), liraglutid (3 báo cáo) và exenatid (1 báo cáo).</w:t>
      </w:r>
    </w:p>
    <w:p w:rsidR="00B50A11" w:rsidRPr="00B50A11" w:rsidRDefault="00B50A11" w:rsidP="00B50A11">
      <w:pPr>
        <w:shd w:val="clear" w:color="auto" w:fill="FFFFFF"/>
        <w:spacing w:after="0" w:line="240" w:lineRule="auto"/>
        <w:ind w:firstLine="720"/>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Khuyến cáo dành cho nhân viên y tế:</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Khuyến cáo bệnh nhân cần bổ sung đủ nước trong suốt quá trình điều trị bằng các thuốc chủ vận GLP-1.</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Cảnh báo bệnh nhân về các nguy cơ tiềm ẩn của tình trạng mất nước và thông báo cho nhân viên y tế ngay khi các biến cố trên tiêu hóa nghiêm trọng hoặc kéo dài dai dẳng. </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xml:space="preserve">- Cân nhắc trì hoãn việc tăng liều thuốc chủ vận thủ thế GLP-1 </w:t>
      </w:r>
      <w:proofErr w:type="gramStart"/>
      <w:r w:rsidRPr="00B50A11">
        <w:rPr>
          <w:rFonts w:ascii="Times New Roman" w:eastAsia="Times New Roman" w:hAnsi="Times New Roman" w:cs="Times New Roman"/>
          <w:sz w:val="28"/>
          <w:szCs w:val="28"/>
        </w:rPr>
        <w:t>theo</w:t>
      </w:r>
      <w:proofErr w:type="gramEnd"/>
      <w:r w:rsidRPr="00B50A11">
        <w:rPr>
          <w:rFonts w:ascii="Times New Roman" w:eastAsia="Times New Roman" w:hAnsi="Times New Roman" w:cs="Times New Roman"/>
          <w:sz w:val="28"/>
          <w:szCs w:val="28"/>
        </w:rPr>
        <w:t xml:space="preserve"> kế hoạch, thậm chí giảm liều duy trì khi bệnh nhân xuất hiện các biến cố nghiêm trọng trên tiêu hóa. </w:t>
      </w:r>
    </w:p>
    <w:p w:rsidR="00B50A11"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Cân nhắc trì hoãn sử dụng thuốc chủ vận GLP-1 trong trường hợp bệnh nhân có các tình trạng tiêu hóa cấp tính vào ngày dự kiến dùng thuốc. </w:t>
      </w:r>
    </w:p>
    <w:p w:rsidR="004C6AB2" w:rsidRPr="00B50A11" w:rsidRDefault="00B50A11" w:rsidP="00B50A11">
      <w:pPr>
        <w:shd w:val="clear" w:color="auto" w:fill="FFFFFF"/>
        <w:spacing w:after="0" w:line="240" w:lineRule="auto"/>
        <w:jc w:val="both"/>
        <w:rPr>
          <w:rFonts w:ascii="Times New Roman" w:eastAsia="Times New Roman" w:hAnsi="Times New Roman" w:cs="Times New Roman"/>
          <w:sz w:val="28"/>
          <w:szCs w:val="28"/>
        </w:rPr>
      </w:pPr>
      <w:r w:rsidRPr="00B50A11">
        <w:rPr>
          <w:rFonts w:ascii="Times New Roman" w:eastAsia="Times New Roman" w:hAnsi="Times New Roman" w:cs="Times New Roman"/>
          <w:sz w:val="28"/>
          <w:szCs w:val="28"/>
        </w:rPr>
        <w:t> </w:t>
      </w:r>
      <w:r w:rsidR="00B12F8E" w:rsidRPr="00F51A86">
        <w:rPr>
          <w:i/>
          <w:sz w:val="28"/>
          <w:szCs w:val="28"/>
          <w:lang w:val="vi-VN"/>
        </w:rPr>
        <w:t>Nguồn: canhgiacduoc</w:t>
      </w:r>
    </w:p>
    <w:p w:rsidR="00AE6FD9" w:rsidRPr="00F51A86" w:rsidRDefault="00AE6FD9" w:rsidP="00D9199D">
      <w:pPr>
        <w:shd w:val="clear" w:color="auto" w:fill="FFFFFF"/>
        <w:spacing w:after="0" w:line="240" w:lineRule="auto"/>
        <w:ind w:left="5040" w:firstLine="720"/>
        <w:jc w:val="both"/>
        <w:rPr>
          <w:rFonts w:ascii="Times New Roman" w:hAnsi="Times New Roman" w:cs="Times New Roman"/>
          <w:b/>
          <w:sz w:val="28"/>
          <w:szCs w:val="28"/>
        </w:rPr>
      </w:pPr>
    </w:p>
    <w:p w:rsidR="00A033E8" w:rsidRPr="00F51A86" w:rsidRDefault="000C63FE" w:rsidP="00B50A11">
      <w:pPr>
        <w:shd w:val="clear" w:color="auto" w:fill="FFFFFF"/>
        <w:spacing w:after="0" w:line="240" w:lineRule="auto"/>
        <w:ind w:left="4320" w:firstLine="720"/>
        <w:jc w:val="both"/>
        <w:rPr>
          <w:rFonts w:ascii="Times New Roman" w:eastAsia="Times New Roman" w:hAnsi="Times New Roman" w:cs="Times New Roman"/>
          <w:sz w:val="28"/>
          <w:szCs w:val="28"/>
          <w:lang w:val="vi-VN"/>
        </w:rPr>
      </w:pPr>
      <w:bookmarkStart w:id="0" w:name="_GoBack"/>
      <w:bookmarkEnd w:id="0"/>
      <w:r w:rsidRPr="00F51A86">
        <w:rPr>
          <w:rFonts w:ascii="Times New Roman" w:hAnsi="Times New Roman" w:cs="Times New Roman"/>
          <w:b/>
          <w:sz w:val="28"/>
          <w:szCs w:val="28"/>
          <w:lang w:val="vi-VN"/>
        </w:rPr>
        <w:t>ĐƠN VỊ THÔNG TIN THUỐC</w:t>
      </w:r>
    </w:p>
    <w:sectPr w:rsidR="00A033E8" w:rsidRPr="00F51A86" w:rsidSect="00425B82">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7D" w:rsidRDefault="002E2C7D" w:rsidP="006645AB">
      <w:pPr>
        <w:spacing w:after="0" w:line="240" w:lineRule="auto"/>
      </w:pPr>
      <w:r>
        <w:separator/>
      </w:r>
    </w:p>
  </w:endnote>
  <w:endnote w:type="continuationSeparator" w:id="0">
    <w:p w:rsidR="002E2C7D" w:rsidRDefault="002E2C7D"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B50A11">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7D" w:rsidRDefault="002E2C7D" w:rsidP="006645AB">
      <w:pPr>
        <w:spacing w:after="0" w:line="240" w:lineRule="auto"/>
      </w:pPr>
      <w:r>
        <w:separator/>
      </w:r>
    </w:p>
  </w:footnote>
  <w:footnote w:type="continuationSeparator" w:id="0">
    <w:p w:rsidR="002E2C7D" w:rsidRDefault="002E2C7D"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D1DFF"/>
    <w:rsid w:val="00260377"/>
    <w:rsid w:val="0026312D"/>
    <w:rsid w:val="002952B9"/>
    <w:rsid w:val="002E2C7D"/>
    <w:rsid w:val="002F1183"/>
    <w:rsid w:val="00341298"/>
    <w:rsid w:val="00365AA9"/>
    <w:rsid w:val="00386112"/>
    <w:rsid w:val="00394C30"/>
    <w:rsid w:val="0039605C"/>
    <w:rsid w:val="00425B82"/>
    <w:rsid w:val="00445F6B"/>
    <w:rsid w:val="00461790"/>
    <w:rsid w:val="00465003"/>
    <w:rsid w:val="004746FA"/>
    <w:rsid w:val="004A0FC2"/>
    <w:rsid w:val="004B54FE"/>
    <w:rsid w:val="004B603B"/>
    <w:rsid w:val="004C6AB2"/>
    <w:rsid w:val="004E12FF"/>
    <w:rsid w:val="004F1270"/>
    <w:rsid w:val="00521983"/>
    <w:rsid w:val="0056267A"/>
    <w:rsid w:val="005718E0"/>
    <w:rsid w:val="005A736D"/>
    <w:rsid w:val="005C1892"/>
    <w:rsid w:val="005D4146"/>
    <w:rsid w:val="00611457"/>
    <w:rsid w:val="00616A77"/>
    <w:rsid w:val="00647B2E"/>
    <w:rsid w:val="006645AB"/>
    <w:rsid w:val="006737C0"/>
    <w:rsid w:val="006843A0"/>
    <w:rsid w:val="0070727E"/>
    <w:rsid w:val="00725083"/>
    <w:rsid w:val="0076029D"/>
    <w:rsid w:val="0076514E"/>
    <w:rsid w:val="00773810"/>
    <w:rsid w:val="00792F41"/>
    <w:rsid w:val="007A4AFE"/>
    <w:rsid w:val="007A60A4"/>
    <w:rsid w:val="007C2300"/>
    <w:rsid w:val="00833F0D"/>
    <w:rsid w:val="008731FE"/>
    <w:rsid w:val="00891971"/>
    <w:rsid w:val="008B1E25"/>
    <w:rsid w:val="008B3222"/>
    <w:rsid w:val="008C0EE0"/>
    <w:rsid w:val="008D1E85"/>
    <w:rsid w:val="008F5FDE"/>
    <w:rsid w:val="009059A9"/>
    <w:rsid w:val="00922A6B"/>
    <w:rsid w:val="009532CD"/>
    <w:rsid w:val="00964C01"/>
    <w:rsid w:val="009E5A26"/>
    <w:rsid w:val="009F5F93"/>
    <w:rsid w:val="00A033E8"/>
    <w:rsid w:val="00AC3F1A"/>
    <w:rsid w:val="00AE6FD9"/>
    <w:rsid w:val="00B05CB1"/>
    <w:rsid w:val="00B12F8E"/>
    <w:rsid w:val="00B50A11"/>
    <w:rsid w:val="00B561FE"/>
    <w:rsid w:val="00B74538"/>
    <w:rsid w:val="00C05B8B"/>
    <w:rsid w:val="00C12063"/>
    <w:rsid w:val="00C1592A"/>
    <w:rsid w:val="00C21CD5"/>
    <w:rsid w:val="00C3464F"/>
    <w:rsid w:val="00C459C7"/>
    <w:rsid w:val="00C46400"/>
    <w:rsid w:val="00C75D27"/>
    <w:rsid w:val="00CF000F"/>
    <w:rsid w:val="00D16336"/>
    <w:rsid w:val="00D33566"/>
    <w:rsid w:val="00D66F52"/>
    <w:rsid w:val="00D9199D"/>
    <w:rsid w:val="00D95F96"/>
    <w:rsid w:val="00E216C2"/>
    <w:rsid w:val="00E83F4B"/>
    <w:rsid w:val="00E84163"/>
    <w:rsid w:val="00E86628"/>
    <w:rsid w:val="00E9235A"/>
    <w:rsid w:val="00E95064"/>
    <w:rsid w:val="00EC0B4A"/>
    <w:rsid w:val="00F44F44"/>
    <w:rsid w:val="00F51A86"/>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actualites/valproate-et-derives-reduire-le-risque-de-troubles-neurodeveloppementaux-chez-les-enfants-dont-le-pere-a-ete-traite-avant-la-concep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sm.sante.fr/actualites/exposition-paternelle-au-valproate-pendant-la-periode-de-conception-nouvelle-etude-en-faveur-dun-risque-accru-de-troubles-neuro-developpementaux-chez-lenf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7</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480</cp:revision>
  <cp:lastPrinted>2025-10-24T08:45:00Z</cp:lastPrinted>
  <dcterms:created xsi:type="dcterms:W3CDTF">2024-09-25T08:15:00Z</dcterms:created>
  <dcterms:modified xsi:type="dcterms:W3CDTF">2025-11-26T19:06:00Z</dcterms:modified>
</cp:coreProperties>
</file>