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56" w:type="dxa"/>
        <w:jc w:val="left"/>
        <w:tblInd w:w="108" w:type="dxa"/>
        <w:tblLayout w:type="fixed"/>
        <w:tblCellMar>
          <w:top w:w="0" w:type="dxa"/>
          <w:left w:w="108" w:type="dxa"/>
          <w:bottom w:w="0" w:type="dxa"/>
          <w:right w:w="108" w:type="dxa"/>
        </w:tblCellMar>
        <w:tblLook w:val="04a0"/>
      </w:tblPr>
      <w:tblGrid>
        <w:gridCol w:w="4503"/>
        <w:gridCol w:w="5953"/>
      </w:tblGrid>
      <w:tr>
        <w:trPr>
          <w:trHeight w:val="841" w:hRule="atLeast"/>
        </w:trPr>
        <w:tc>
          <w:tcPr>
            <w:tcW w:w="4503" w:type="dxa"/>
            <w:tcBorders/>
            <w:shd w:color="auto" w:fill="auto" w:val="clear"/>
          </w:tcPr>
          <w:p>
            <w:pPr>
              <w:pStyle w:val="Heading5"/>
              <w:tabs>
                <w:tab w:val="clear" w:pos="720"/>
                <w:tab w:val="center" w:pos="1680" w:leader="none"/>
                <w:tab w:val="center" w:pos="6240" w:leader="none"/>
              </w:tabs>
              <w:jc w:val="both"/>
              <w:rPr>
                <w:szCs w:val="28"/>
              </w:rPr>
            </w:pPr>
            <w:r>
              <w:rPr>
                <w:szCs w:val="28"/>
              </w:rPr>
              <w:t>HỘI ĐỒNG THUỐC VÀ ĐIỀU TRỊ</w:t>
            </w:r>
          </w:p>
          <w:p>
            <w:pPr>
              <w:pStyle w:val="Normal"/>
              <w:spacing w:lineRule="auto" w:line="240" w:before="0" w:after="0"/>
              <w:jc w:val="both"/>
              <w:rPr>
                <w:rFonts w:ascii="Times New Roman" w:hAnsi="Times New Roman" w:cs="Times New Roman"/>
                <w:b/>
                <w:sz w:val="28"/>
                <w:szCs w:val="28"/>
              </w:rPr>
            </w:pPr>
            <w:r>
              <mc:AlternateContent>
                <mc:Choice Requires="wps">
                  <w:drawing>
                    <wp:anchor distT="1270" distB="635" distL="635" distR="1270" simplePos="0" relativeHeight="2" behindDoc="0" locked="0" layoutInCell="1" allowOverlap="1">
                      <wp:simplePos x="0" y="0"/>
                      <wp:positionH relativeFrom="column">
                        <wp:posOffset>748665</wp:posOffset>
                      </wp:positionH>
                      <wp:positionV relativeFrom="paragraph">
                        <wp:posOffset>361315</wp:posOffset>
                      </wp:positionV>
                      <wp:extent cx="781050" cy="635"/>
                      <wp:effectExtent l="635" t="1270" r="1270" b="635"/>
                      <wp:wrapNone/>
                      <wp:docPr id="1" name="Straight Arrow Connector 2"/>
                      <a:graphic xmlns:a="http://schemas.openxmlformats.org/drawingml/2006/main">
                        <a:graphicData uri="http://schemas.microsoft.com/office/word/2010/wordprocessingShape">
                          <wps:wsp>
                            <wps:cNvSpPr/>
                            <wps:spPr>
                              <a:xfrm>
                                <a:off x="0" y="0"/>
                                <a:ext cx="781200" cy="720"/>
                              </a:xfrm>
                              <a:prstGeom prst="straightConnector1">
                                <a:avLst/>
                              </a:prstGeom>
                              <a:noFill/>
                              <a:ln w="0">
                                <a:solidFill>
                                  <a:srgbClr val="000000"/>
                                </a:solidFill>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58.95pt;margin-top:28.45pt;width:61.45pt;height:0pt;mso-wrap-style:none;v-text-anchor:middle" type="_x0000_t32" path="m0,0l-2147483648,-2147483647e">
                      <v:fill o:detectmouseclick="t" on="false"/>
                      <v:stroke color="black" joinstyle="round" endcap="flat"/>
                      <w10:wrap type="none"/>
                    </v:shape>
                  </w:pict>
                </mc:Fallback>
              </mc:AlternateContent>
            </w:r>
            <w:r>
              <w:rPr>
                <w:rFonts w:cs="Times New Roman" w:ascii="Times New Roman" w:hAnsi="Times New Roman"/>
                <w:b/>
                <w:spacing w:val="-10"/>
                <w:sz w:val="28"/>
                <w:szCs w:val="28"/>
                <w:lang w:val="vi-VN"/>
              </w:rPr>
              <w:t xml:space="preserve">ĐƠN VỊ </w:t>
            </w:r>
            <w:r>
              <w:rPr>
                <w:rFonts w:cs="Times New Roman" w:ascii="Times New Roman" w:hAnsi="Times New Roman"/>
                <w:b/>
                <w:spacing w:val="-10"/>
                <w:sz w:val="28"/>
                <w:szCs w:val="28"/>
              </w:rPr>
              <w:t>THÔNG TIN THUỐC</w:t>
            </w:r>
          </w:p>
        </w:tc>
        <w:tc>
          <w:tcPr>
            <w:tcW w:w="5953" w:type="dxa"/>
            <w:tcBorders/>
            <w:shd w:color="auto" w:fill="auto" w:val="clear"/>
          </w:tcPr>
          <w:p>
            <w:pPr>
              <w:pStyle w:val="Heading5"/>
              <w:tabs>
                <w:tab w:val="clear" w:pos="720"/>
                <w:tab w:val="center" w:pos="1680" w:leader="none"/>
                <w:tab w:val="center" w:pos="6240" w:leader="none"/>
              </w:tabs>
              <w:jc w:val="both"/>
              <w:rPr>
                <w:b/>
                <w:spacing w:val="-10"/>
                <w:szCs w:val="28"/>
              </w:rPr>
            </w:pPr>
            <w:r>
              <w:rPr>
                <w:b/>
                <w:spacing w:val="-10"/>
                <w:szCs w:val="28"/>
              </w:rPr>
              <w:t>CỘNG HÒA XÃ HỘI CHỦ NGHĨA VIỆT NAM</w:t>
            </w:r>
          </w:p>
          <w:p>
            <w:pPr>
              <w:pStyle w:val="Heading5"/>
              <w:tabs>
                <w:tab w:val="clear" w:pos="720"/>
                <w:tab w:val="center" w:pos="1680" w:leader="none"/>
                <w:tab w:val="center" w:pos="6240" w:leader="none"/>
              </w:tabs>
              <w:jc w:val="both"/>
              <w:rPr>
                <w:b/>
                <w:spacing w:val="-10"/>
                <w:szCs w:val="28"/>
              </w:rPr>
            </w:pPr>
            <w:r>
              <w:rPr>
                <w:b/>
                <w:spacing w:val="-10"/>
                <w:szCs w:val="28"/>
              </w:rPr>
              <w:t xml:space="preserve">                 </w:t>
            </w:r>
            <w:r>
              <w:rPr>
                <w:b/>
                <w:spacing w:val="-10"/>
                <w:szCs w:val="28"/>
              </w:rPr>
              <w:t>Độc lập - Tự do - Hạnh phúc</w:t>
            </w:r>
          </w:p>
          <w:p>
            <w:pPr>
              <w:pStyle w:val="Normal"/>
              <w:widowControl/>
              <w:bidi w:val="0"/>
              <w:spacing w:lineRule="auto" w:line="276" w:before="0" w:after="200"/>
              <w:jc w:val="left"/>
              <w:rPr/>
            </w:pPr>
            <w:r>
              <w:rPr/>
              <mc:AlternateContent>
                <mc:Choice Requires="wps">
                  <w:drawing>
                    <wp:anchor distT="1270" distB="635" distL="1270" distR="635" simplePos="0" relativeHeight="3" behindDoc="0" locked="0" layoutInCell="1" allowOverlap="1">
                      <wp:simplePos x="0" y="0"/>
                      <wp:positionH relativeFrom="column">
                        <wp:posOffset>701675</wp:posOffset>
                      </wp:positionH>
                      <wp:positionV relativeFrom="paragraph">
                        <wp:posOffset>156845</wp:posOffset>
                      </wp:positionV>
                      <wp:extent cx="2009775" cy="635"/>
                      <wp:effectExtent l="1270" t="1270" r="635" b="635"/>
                      <wp:wrapNone/>
                      <wp:docPr id="2" name="Straight Arrow Connector 1"/>
                      <a:graphic xmlns:a="http://schemas.openxmlformats.org/drawingml/2006/main">
                        <a:graphicData uri="http://schemas.microsoft.com/office/word/2010/wordprocessingShape">
                          <wps:wsp>
                            <wps:cNvSpPr/>
                            <wps:spPr>
                              <a:xfrm>
                                <a:off x="0" y="0"/>
                                <a:ext cx="2009880" cy="720"/>
                              </a:xfrm>
                              <a:prstGeom prst="straightConnector1">
                                <a:avLst/>
                              </a:prstGeom>
                              <a:noFill/>
                              <a:ln w="0">
                                <a:solidFill>
                                  <a:srgbClr val="000000"/>
                                </a:solidFill>
                              </a:ln>
                            </wps:spPr>
                            <wps:style>
                              <a:lnRef idx="0"/>
                              <a:fillRef idx="0"/>
                              <a:effectRef idx="0"/>
                              <a:fontRef idx="minor"/>
                            </wps:style>
                            <wps:bodyPr/>
                          </wps:wsp>
                        </a:graphicData>
                      </a:graphic>
                    </wp:anchor>
                  </w:drawing>
                </mc:Choice>
                <mc:Fallback>
                  <w:pict>
                    <v:shape id="shape_0" stroked="t" o:allowincell="t" style="position:absolute;margin-left:55.25pt;margin-top:12.35pt;width:158.2pt;height:0pt;mso-wrap-style:none;v-text-anchor:middle" type="_x0000_t32" path="m0,0l-2147483648,-2147483647e">
                      <v:fill o:detectmouseclick="t" on="false"/>
                      <v:stroke color="black" joinstyle="round" endcap="flat"/>
                      <w10:wrap type="none"/>
                    </v:shape>
                  </w:pict>
                </mc:Fallback>
              </mc:AlternateContent>
            </w:r>
          </w:p>
        </w:tc>
      </w:tr>
      <w:tr>
        <w:trPr/>
        <w:tc>
          <w:tcPr>
            <w:tcW w:w="4503" w:type="dxa"/>
            <w:tcBorders/>
            <w:shd w:color="auto" w:fill="auto" w:val="clear"/>
          </w:tcPr>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c>
        <w:tc>
          <w:tcPr>
            <w:tcW w:w="5953" w:type="dxa"/>
            <w:tcBorders/>
            <w:shd w:color="auto" w:fill="auto" w:val="clear"/>
          </w:tcPr>
          <w:p>
            <w:pPr>
              <w:pStyle w:val="Heading5"/>
              <w:tabs>
                <w:tab w:val="clear" w:pos="720"/>
                <w:tab w:val="center" w:pos="1680" w:leader="none"/>
                <w:tab w:val="center" w:pos="6240" w:leader="none"/>
              </w:tabs>
              <w:jc w:val="both"/>
              <w:rPr>
                <w:spacing w:val="-10"/>
                <w:szCs w:val="28"/>
              </w:rPr>
            </w:pPr>
            <w:r>
              <w:rPr>
                <w:spacing w:val="-10"/>
                <w:szCs w:val="28"/>
              </w:rPr>
            </w:r>
          </w:p>
        </w:tc>
      </w:tr>
    </w:tbl>
    <w:p>
      <w:pPr>
        <w:pStyle w:val="Normal"/>
        <w:spacing w:lineRule="auto" w:line="240" w:before="0" w:after="0"/>
        <w:jc w:val="both"/>
        <w:rPr>
          <w:rFonts w:ascii="Times New Roman" w:hAnsi="Times New Roman" w:cs="Times New Roman"/>
          <w:b/>
          <w:sz w:val="28"/>
          <w:szCs w:val="28"/>
        </w:rPr>
      </w:pPr>
      <w:r>
        <w:rPr>
          <w:rFonts w:cs="Times New Roman" w:ascii="Times New Roman" w:hAnsi="Times New Roman"/>
          <w:b/>
          <w:sz w:val="28"/>
          <w:szCs w:val="28"/>
        </w:rPr>
        <w:t xml:space="preserve">                          </w:t>
      </w:r>
      <w:r>
        <w:rPr>
          <w:rFonts w:cs="Times New Roman" w:ascii="Times New Roman" w:hAnsi="Times New Roman"/>
          <w:b/>
          <w:sz w:val="28"/>
          <w:szCs w:val="28"/>
          <w:lang w:val="vi-VN"/>
        </w:rPr>
        <w:t xml:space="preserve">BẢNG TIN </w:t>
      </w:r>
      <w:r>
        <w:rPr>
          <w:rFonts w:cs="Times New Roman" w:ascii="Times New Roman" w:hAnsi="Times New Roman"/>
          <w:b/>
          <w:sz w:val="28"/>
          <w:szCs w:val="28"/>
        </w:rPr>
        <w:t xml:space="preserve">THÔNG TIN THUỐC THÁNG </w:t>
      </w:r>
      <w:r>
        <w:rPr>
          <w:rFonts w:cs="Times New Roman" w:ascii="Times New Roman" w:hAnsi="Times New Roman"/>
          <w:b/>
          <w:sz w:val="28"/>
          <w:szCs w:val="28"/>
        </w:rPr>
        <w:t>10</w:t>
      </w:r>
      <w:r>
        <w:rPr>
          <w:rFonts w:cs="Times New Roman" w:ascii="Times New Roman" w:hAnsi="Times New Roman"/>
          <w:b/>
          <w:sz w:val="28"/>
          <w:szCs w:val="28"/>
        </w:rPr>
        <w:t>/2026</w:t>
      </w:r>
    </w:p>
    <w:p>
      <w:pPr>
        <w:pStyle w:val="Normal"/>
        <w:spacing w:lineRule="auto" w:line="240" w:before="0" w:after="0"/>
        <w:jc w:val="both"/>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rPr>
          <w:rFonts w:ascii="Times New Roman" w:hAnsi="Times New Roman"/>
          <w:b/>
          <w:bCs/>
          <w:color w:val="FF4000"/>
          <w:sz w:val="28"/>
          <w:szCs w:val="28"/>
          <w:highlight w:val="none"/>
          <w:shd w:fill="FFFF00" w:val="clear"/>
        </w:rPr>
      </w:pPr>
      <w:r>
        <w:rPr>
          <w:rFonts w:cs="Times New Roman" w:ascii="Times New Roman" w:hAnsi="Times New Roman"/>
          <w:b/>
          <w:bCs/>
          <w:color w:val="FF4000"/>
          <w:sz w:val="28"/>
          <w:szCs w:val="28"/>
          <w:shd w:fill="FFFF00" w:val="clear"/>
        </w:rPr>
        <w:t xml:space="preserve">I. </w:t>
      </w:r>
      <w:r>
        <w:rPr>
          <w:rFonts w:ascii="Times New Roman" w:hAnsi="Times New Roman"/>
          <w:b/>
          <w:bCs/>
          <w:color w:val="FF4000"/>
          <w:sz w:val="28"/>
          <w:szCs w:val="28"/>
          <w:shd w:fill="FFFF00" w:val="clear"/>
        </w:rPr>
        <w:t xml:space="preserve"> </w:t>
      </w:r>
      <w:r>
        <w:rPr>
          <w:rFonts w:cs="Times New Roman" w:ascii="Times New Roman" w:hAnsi="Times New Roman"/>
          <w:b/>
          <w:bCs/>
          <w:color w:val="FF4000"/>
          <w:sz w:val="28"/>
          <w:szCs w:val="28"/>
          <w:shd w:fill="FFFF00" w:val="clear"/>
        </w:rPr>
        <w:t xml:space="preserve"> </w:t>
      </w:r>
      <w:r>
        <w:rPr>
          <w:rFonts w:ascii="Times New Roman" w:hAnsi="Times New Roman"/>
          <w:b/>
          <w:bCs/>
          <w:i w:val="false"/>
          <w:caps w:val="false"/>
          <w:smallCaps w:val="false"/>
          <w:color w:val="FF4000"/>
          <w:spacing w:val="0"/>
          <w:sz w:val="28"/>
          <w:szCs w:val="28"/>
          <w:shd w:fill="FFFF00" w:val="clear"/>
        </w:rPr>
        <w:t>Nguy cơ nhiễm toan lactic liên quan đến metformin: Thông tin từ Bản tin BIP Occitane số 03/2026</w:t>
      </w:r>
    </w:p>
    <w:p>
      <w:pPr>
        <w:pStyle w:val="Normal"/>
        <w:spacing w:lineRule="auto" w:line="240" w:before="0" w:after="0"/>
        <w:rPr>
          <w:rFonts w:ascii="Times New Roman" w:hAnsi="Times New Roman"/>
          <w:b w:val="false"/>
          <w:i w:val="false"/>
          <w:caps w:val="false"/>
          <w:smallCaps w:val="false"/>
          <w:color w:val="006666"/>
          <w:spacing w:val="0"/>
          <w:sz w:val="28"/>
          <w:szCs w:val="28"/>
        </w:rPr>
      </w:pPr>
      <w:r>
        <w:rPr>
          <w:rFonts w:ascii="Times New Roman" w:hAnsi="Times New Roman"/>
          <w:b w:val="false"/>
          <w:i w:val="false"/>
          <w:caps w:val="false"/>
          <w:smallCaps w:val="false"/>
          <w:color w:val="006666"/>
          <w:spacing w:val="0"/>
          <w:sz w:val="28"/>
          <w:szCs w:val="28"/>
        </w:rPr>
      </w:r>
    </w:p>
    <w:p>
      <w:pPr>
        <w:pStyle w:val="BodyText"/>
        <w:widowControl/>
        <w:pBdr/>
        <w:bidi w:val="0"/>
        <w:spacing w:lineRule="auto" w:line="317"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bookmarkStart w:id="0" w:name="docs-internal-guid-fef27b4e-7fff-e193-2f"/>
      <w:bookmarkEnd w:id="0"/>
      <w:r>
        <w:rPr>
          <w:rFonts w:cs="Times New Roman" w:ascii="Times New Roman" w:hAnsi="Times New Roman"/>
          <w:b w:val="false"/>
          <w:i w:val="false"/>
          <w:caps w:val="false"/>
          <w:smallCaps w:val="false"/>
          <w:color w:val="000000"/>
          <w:spacing w:val="0"/>
          <w:sz w:val="28"/>
          <w:szCs w:val="28"/>
          <w:shd w:fill="auto" w:val="clear"/>
        </w:rPr>
        <w:tab/>
        <w:t>Nhiễm toan lactic do metformin là một tác dụng không mong muốn (TDKMM) hiếm gặp (với tỷ lệ dưới 1/1.000 bệnh nhân). Đây là phản ứng nghiêm trọng và có thể dẫn đến tử vong nếu không được can thiệp kịp thời. Suy giảm chức năng thận được xác định là yếu tố nguy cơ phổ biến nhất. TDKMM này có thể xảy ra khi bệnh nhân mất nước; hoặc khi sử dụng đồng thời với các loại thuốc làm suy giảm chức năng thận hoặc thuốc làm giảm thải trừ metformin. Trung tâm Cảnh giác Dược Lille (Pháp) đã công bố một nghiên cứu trên 198 trường hợp nhiễm toan lactic do metformin được điều trị tại các khoa hồi sức tích cực tại vùng Nord-Pas-de-Calais trong 02 năm (2017-2018). Kết quả cho thấy có 38/198 bệnh nhân tử vong (chiếm 19,2%). Đáng chú ý, 80% các trường hợp nhiễm toan lactic được đánh giá là có thể phòng ngừa.</w:t>
      </w:r>
    </w:p>
    <w:p>
      <w:pPr>
        <w:pStyle w:val="BodyText"/>
        <w:widowControl/>
        <w:pBdr/>
        <w:bidi w:val="0"/>
        <w:spacing w:lineRule="auto" w:line="317"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bookmarkStart w:id="1" w:name="docs-internal-guid-fef27b4e-7fff-e193-21"/>
      <w:bookmarkEnd w:id="1"/>
      <w:r>
        <w:rPr>
          <w:rFonts w:cs="Times New Roman" w:ascii="Times New Roman" w:hAnsi="Times New Roman"/>
          <w:b w:val="false"/>
          <w:i w:val="false"/>
          <w:caps w:val="false"/>
          <w:smallCaps w:val="false"/>
          <w:color w:val="000000"/>
          <w:spacing w:val="0"/>
          <w:sz w:val="28"/>
          <w:szCs w:val="28"/>
          <w:shd w:fill="auto" w:val="clear"/>
        </w:rPr>
        <w:tab/>
        <w:t>Trong một khảo sát thực tế được tiến hành tại ba nhà thuốc ở Toulouse trên 100 bệnh nhân đái tháo đường týp 2 đang được điều trị bằng metformin, đã cho thấy thực trạng thiếu sự nhận thức của người bệnh đối với tác dụng không mong muốn có thể đe dọa tính mạng này. Mặc dù bệnh nhân hiểu rõ lợi ích của metformin trong điều trị, nhưng chỉ có 37% trong số họ có nhận thức về nguy cơ nhiễm toan lactic liên quan đến metformin cũng như các yếu tố có thể làm tăng nguy cơ gặp TDKMM này. </w:t>
      </w:r>
    </w:p>
    <w:p>
      <w:pPr>
        <w:pStyle w:val="BodyText"/>
        <w:widowControl/>
        <w:pBdr/>
        <w:bidi w:val="0"/>
        <w:spacing w:lineRule="auto" w:line="317"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Các nhân viên y tế cần tiếp tục duy trì việc thông tin, tư vấn cho bệnh nhân về nguy cơ nhiễm toan lactic cũng như các yếu tố nguy cơ kèm theo. Đặc biệt trong bối cảnh các đợt nắng nóng kéo dài lặp đi lặp lại, có thể dẫn đến tình trạng mất nước ở người bệnh.</w:t>
      </w:r>
    </w:p>
    <w:p>
      <w:pPr>
        <w:pStyle w:val="BodyText"/>
        <w:widowControl/>
        <w:pBdr/>
        <w:bidi w:val="0"/>
        <w:spacing w:lineRule="auto" w:line="317" w:before="0" w:after="0"/>
        <w:ind w:hanging="0" w:left="0" w:right="0"/>
        <w:jc w:val="both"/>
        <w:rPr>
          <w:rFonts w:ascii="arial;helvetica;sans-serif" w:hAnsi="arial;helvetica;sans-serif" w:cs="Times New Roman"/>
          <w:color w:val="000000"/>
          <w:sz w:val="21"/>
          <w:szCs w:val="28"/>
          <w:shd w:fill="auto" w:val="clear"/>
        </w:rPr>
      </w:pPr>
      <w:bookmarkStart w:id="2" w:name="docs-internal-guid-fef27b4e-7fff-e193-22"/>
      <w:bookmarkEnd w:id="2"/>
      <w:r>
        <w:rPr>
          <w:rFonts w:cs="Times New Roman" w:ascii="arial;helvetica;sans-serif" w:hAnsi="arial;helvetica;sans-serif"/>
          <w:b w:val="false"/>
          <w:i w:val="false"/>
          <w:caps w:val="false"/>
          <w:smallCaps w:val="false"/>
          <w:color w:val="000000"/>
          <w:spacing w:val="0"/>
          <w:sz w:val="21"/>
          <w:szCs w:val="28"/>
          <w:shd w:fill="auto" w:val="clear"/>
        </w:rPr>
        <w:t xml:space="preserve">Nguồn: </w:t>
      </w:r>
      <w:hyperlink r:id="rId2">
        <w:r>
          <w:rPr>
            <w:rStyle w:val="Hyperlink"/>
            <w:rFonts w:cs="Times New Roman" w:ascii="Calibri;Arial" w:hAnsi="Calibri;Arial"/>
            <w:b w:val="false"/>
            <w:i w:val="false"/>
            <w:caps w:val="false"/>
            <w:smallCaps w:val="false"/>
            <w:strike w:val="false"/>
            <w:dstrike w:val="false"/>
            <w:color w:val="414141"/>
            <w:spacing w:val="0"/>
            <w:sz w:val="22"/>
            <w:szCs w:val="28"/>
            <w:u w:val="none"/>
            <w:effect w:val="none"/>
            <w:shd w:fill="auto" w:val="clear"/>
          </w:rPr>
          <w:t>https://www.chu-montpellier.fr/fr/crpv/sinformer/bip-2026</w:t>
        </w:r>
      </w:hyperlink>
    </w:p>
    <w:p>
      <w:pPr>
        <w:pStyle w:val="BodyText"/>
        <w:widowControl/>
        <w:pBdr/>
        <w:bidi w:val="0"/>
        <w:spacing w:lineRule="auto" w:line="317" w:before="0" w:after="0"/>
        <w:ind w:hanging="0" w:left="0" w:right="0"/>
        <w:jc w:val="both"/>
        <w:rPr>
          <w:rFonts w:ascii="Times New Roman" w:hAnsi="Times New Roman"/>
          <w:b/>
          <w:bCs/>
          <w:i w:val="false"/>
          <w:caps w:val="false"/>
          <w:smallCaps w:val="false"/>
          <w:color w:val="FF4000"/>
          <w:spacing w:val="0"/>
          <w:sz w:val="28"/>
          <w:szCs w:val="28"/>
          <w:highlight w:val="none"/>
          <w:shd w:fill="FFFF00" w:val="clear"/>
        </w:rPr>
      </w:pPr>
      <w:r>
        <w:rPr>
          <w:rFonts w:cs="Times New Roman" w:ascii="Times New Roman" w:hAnsi="Times New Roman"/>
          <w:b/>
          <w:bCs/>
          <w:i w:val="false"/>
          <w:caps w:val="false"/>
          <w:smallCaps w:val="false"/>
          <w:strike w:val="false"/>
          <w:dstrike w:val="false"/>
          <w:color w:val="FF4000"/>
          <w:spacing w:val="0"/>
          <w:sz w:val="28"/>
          <w:szCs w:val="28"/>
          <w:u w:val="none"/>
          <w:effect w:val="none"/>
          <w:shd w:fill="FFFF00" w:val="clear"/>
        </w:rPr>
        <w:t>II.</w:t>
      </w:r>
      <w:r>
        <w:rPr>
          <w:rFonts w:ascii="Times New Roman" w:hAnsi="Times New Roman"/>
          <w:b/>
          <w:bCs/>
          <w:i w:val="false"/>
          <w:caps w:val="false"/>
          <w:smallCaps w:val="false"/>
          <w:color w:val="FF4000"/>
          <w:spacing w:val="0"/>
          <w:sz w:val="28"/>
          <w:szCs w:val="28"/>
          <w:shd w:fill="FFFF00" w:val="clear"/>
        </w:rPr>
        <w:t>Nguy cơ độc tính cấp tính trên gan khi sử dụng metronidazol ở bệnh nhân mắc hội chứng Cockayne: Thông tin từ Bản tin Cảnh giác Dược khu vực Amiens, Pháp</w:t>
      </w:r>
    </w:p>
    <w:p>
      <w:pPr>
        <w:sectPr>
          <w:footerReference w:type="even" r:id="rId3"/>
          <w:footerReference w:type="default" r:id="rId4"/>
          <w:footerReference w:type="first" r:id="rId5"/>
          <w:type w:val="nextPage"/>
          <w:pgSz w:w="12240" w:h="15840"/>
          <w:pgMar w:left="1134" w:right="1134" w:gutter="0" w:header="0" w:top="1134" w:footer="720" w:bottom="1134"/>
          <w:pgNumType w:fmt="decimal"/>
          <w:formProt w:val="false"/>
          <w:textDirection w:val="lrTb"/>
          <w:docGrid w:type="default" w:linePitch="360" w:charSpace="0"/>
        </w:sectPr>
      </w:pPr>
    </w:p>
    <w:p>
      <w:pPr>
        <w:pStyle w:val="BodyText"/>
        <w:widowControl/>
        <w:pBdr/>
        <w:bidi w:val="0"/>
        <w:spacing w:lineRule="auto" w:line="317" w:before="0" w:after="0"/>
        <w:ind w:hanging="0" w:left="0" w:right="0"/>
        <w:jc w:val="both"/>
        <w:rPr>
          <w:rFonts w:ascii="Times New Roman" w:hAnsi="Times New Roman" w:cs="Times New Roman"/>
          <w:b w:val="false"/>
          <w:i w:val="false"/>
          <w:caps w:val="false"/>
          <w:smallCaps w:val="false"/>
          <w:color w:val="414141"/>
          <w:spacing w:val="0"/>
          <w:sz w:val="28"/>
          <w:szCs w:val="28"/>
        </w:rPr>
      </w:pPr>
      <w:bookmarkStart w:id="3" w:name="docs-internal-guid-755b49da-7fff-84c2-9b"/>
      <w:bookmarkEnd w:id="3"/>
      <w:r>
        <w:rPr>
          <w:rFonts w:cs="Times New Roman" w:ascii="Times New Roman" w:hAnsi="Times New Roman"/>
          <w:b w:val="false"/>
          <w:i w:val="false"/>
          <w:caps w:val="false"/>
          <w:smallCaps w:val="false"/>
          <w:color w:val="000000"/>
          <w:spacing w:val="0"/>
          <w:sz w:val="28"/>
          <w:szCs w:val="28"/>
          <w:shd w:fill="auto" w:val="clear"/>
        </w:rPr>
        <w:tab/>
        <w:t xml:space="preserve">Gần đây, một Trung tâm Cảnh giác dược Khu vực tại Pháp đã tiếp nhận một báo cáo về trường hợp suy tế bào gan nặng dẫn đến tử vong ở một bệnh nhân nhi 4 tuổi mắc hội chứng Cockayne. Trước đó, bệnh nhân được chỉ định metronidazol với liều 300mg x 3 lần/ngày để điều trị nhiễm trùng do </w:t>
      </w:r>
      <w:r>
        <w:rPr>
          <w:rFonts w:cs="Times New Roman" w:ascii="Times New Roman" w:hAnsi="Times New Roman"/>
          <w:b w:val="false"/>
          <w:i/>
          <w:caps w:val="false"/>
          <w:smallCaps w:val="false"/>
          <w:color w:val="000000"/>
          <w:spacing w:val="0"/>
          <w:sz w:val="28"/>
          <w:szCs w:val="28"/>
          <w:shd w:fill="auto" w:val="clear"/>
        </w:rPr>
        <w:t>Clostridium difficile</w:t>
      </w:r>
      <w:r>
        <w:rPr>
          <w:rFonts w:cs="Times New Roman" w:ascii="Times New Roman" w:hAnsi="Times New Roman"/>
          <w:b w:val="false"/>
          <w:i w:val="false"/>
          <w:caps w:val="false"/>
          <w:smallCaps w:val="false"/>
          <w:color w:val="000000"/>
          <w:spacing w:val="0"/>
          <w:sz w:val="28"/>
          <w:szCs w:val="28"/>
          <w:shd w:fill="auto" w:val="clear"/>
        </w:rPr>
        <w:t>.</w:t>
      </w:r>
    </w:p>
    <w:p>
      <w:pPr>
        <w:pStyle w:val="BodyText"/>
        <w:widowControl/>
        <w:pBdr/>
        <w:bidi w:val="0"/>
        <w:spacing w:lineRule="auto" w:line="317" w:before="0" w:after="0"/>
        <w:ind w:hanging="0" w:left="0" w:right="0"/>
        <w:jc w:val="both"/>
        <w:rPr>
          <w:rFonts w:ascii="Times New Roman" w:hAnsi="Times New Roman" w:cs="Times New Roman"/>
          <w:b w:val="false"/>
          <w:i w:val="false"/>
          <w:caps w:val="false"/>
          <w:smallCaps w:val="false"/>
          <w:color w:val="414141"/>
          <w:spacing w:val="0"/>
          <w:sz w:val="28"/>
          <w:szCs w:val="28"/>
        </w:rPr>
      </w:pPr>
      <w:bookmarkStart w:id="4" w:name="docs-internal-guid-755b49da-7fff-84c2-91"/>
      <w:bookmarkEnd w:id="4"/>
      <w:r>
        <w:rPr>
          <w:rFonts w:cs="Times New Roman" w:ascii="Times New Roman" w:hAnsi="Times New Roman"/>
          <w:b w:val="false"/>
          <w:i w:val="false"/>
          <w:caps w:val="false"/>
          <w:smallCaps w:val="false"/>
          <w:color w:val="000000"/>
          <w:spacing w:val="0"/>
          <w:sz w:val="28"/>
          <w:szCs w:val="28"/>
          <w:shd w:fill="auto" w:val="clear"/>
        </w:rPr>
        <w:tab/>
        <w:t>Hội chứng Cockayne là một bệnh lý di truyền lặn trên nhiễm sắc thể thường với tần suất rất hiếm gặp, liên quan đến đột biến ở gen (</w:t>
      </w:r>
      <w:r>
        <w:rPr>
          <w:rFonts w:cs="Times New Roman" w:ascii="Times New Roman" w:hAnsi="Times New Roman"/>
          <w:b w:val="false"/>
          <w:i/>
          <w:caps w:val="false"/>
          <w:smallCaps w:val="false"/>
          <w:color w:val="000000"/>
          <w:spacing w:val="0"/>
          <w:sz w:val="28"/>
          <w:szCs w:val="28"/>
          <w:shd w:fill="auto" w:val="clear"/>
        </w:rPr>
        <w:t>ERCC6</w:t>
      </w:r>
      <w:r>
        <w:rPr>
          <w:rFonts w:cs="Times New Roman" w:ascii="Times New Roman" w:hAnsi="Times New Roman"/>
          <w:b w:val="false"/>
          <w:i w:val="false"/>
          <w:caps w:val="false"/>
          <w:smallCaps w:val="false"/>
          <w:color w:val="000000"/>
          <w:spacing w:val="0"/>
          <w:sz w:val="28"/>
          <w:szCs w:val="28"/>
          <w:shd w:fill="auto" w:val="clear"/>
        </w:rPr>
        <w:t xml:space="preserve"> hoặc </w:t>
      </w:r>
      <w:r>
        <w:rPr>
          <w:rFonts w:cs="Times New Roman" w:ascii="Times New Roman" w:hAnsi="Times New Roman"/>
          <w:b w:val="false"/>
          <w:i/>
          <w:caps w:val="false"/>
          <w:smallCaps w:val="false"/>
          <w:color w:val="000000"/>
          <w:spacing w:val="0"/>
          <w:sz w:val="28"/>
          <w:szCs w:val="28"/>
          <w:shd w:fill="auto" w:val="clear"/>
        </w:rPr>
        <w:t>ERCC8</w:t>
      </w:r>
      <w:r>
        <w:rPr>
          <w:rFonts w:cs="Times New Roman" w:ascii="Times New Roman" w:hAnsi="Times New Roman"/>
          <w:b w:val="false"/>
          <w:i w:val="false"/>
          <w:caps w:val="false"/>
          <w:smallCaps w:val="false"/>
          <w:color w:val="000000"/>
          <w:spacing w:val="0"/>
          <w:sz w:val="28"/>
          <w:szCs w:val="28"/>
          <w:shd w:fill="auto" w:val="clear"/>
        </w:rPr>
        <w:t>) mã hóa cho một loại protein tham gia vào quá trình sửa chữa ADN theo cơ chế cắt bỏ nucleotid. Bệnh có thể biểu hiện bằng các tình trạng như đầu nhỏ bất thường, rối loạn phát triển và tăng trưởng, dị dạng bất thường ở mặt, suy giảm trí tuệ và lão hóa sớm.</w:t>
      </w:r>
    </w:p>
    <w:p>
      <w:pPr>
        <w:pStyle w:val="BodyText"/>
        <w:widowControl/>
        <w:pBdr/>
        <w:bidi w:val="0"/>
        <w:spacing w:lineRule="auto" w:line="317" w:before="0" w:after="0"/>
        <w:ind w:hanging="0" w:left="0" w:right="0"/>
        <w:jc w:val="both"/>
        <w:rPr>
          <w:rFonts w:ascii="Times New Roman" w:hAnsi="Times New Roman" w:cs="Times New Roman"/>
          <w:b w:val="false"/>
          <w:i w:val="false"/>
          <w:caps w:val="false"/>
          <w:smallCaps w:val="false"/>
          <w:color w:val="414141"/>
          <w:spacing w:val="0"/>
          <w:sz w:val="28"/>
          <w:szCs w:val="28"/>
        </w:rPr>
      </w:pPr>
      <w:bookmarkStart w:id="5" w:name="docs-internal-guid-755b49da-7fff-84c2-92"/>
      <w:bookmarkEnd w:id="5"/>
      <w:r>
        <w:rPr>
          <w:rFonts w:cs="Times New Roman" w:ascii="Times New Roman" w:hAnsi="Times New Roman"/>
          <w:b w:val="false"/>
          <w:i w:val="false"/>
          <w:caps w:val="false"/>
          <w:smallCaps w:val="false"/>
          <w:color w:val="000000"/>
          <w:spacing w:val="0"/>
          <w:sz w:val="28"/>
          <w:szCs w:val="28"/>
          <w:shd w:fill="auto" w:val="clear"/>
        </w:rPr>
        <w:tab/>
        <w:t xml:space="preserve">Ở những bệnh nhân này, việc sử dụng metronidazol được ghi nhận có nguy cơ dẫn đến tình trạng độc tính cấp tính trên gan ngay sau khi bắt đầu điều trị, hiện cơ chế sinh lý bệnh vẫn chưa được làm rõ. Vào năm 2015, một chuỗi báo cáo gồm 8 trường hợp đã được ghi nhận, trong đó có 3 trường hợp tử vong. Thời gian khởi phát tổn thương gan được ghi nhận là từ 6 đến 11 ngày. Sau đó, nhiều trường hợp khác cũng tiếp tục được báo cáo trong y văn. Các dữ liệu trong thử nghiệm cho thấy ngay cả với nồng độ rất thấp của metronidazol, khả năng sống sót </w:t>
      </w:r>
      <w:r>
        <w:rPr>
          <w:rFonts w:cs="Times New Roman" w:ascii="Times New Roman" w:hAnsi="Times New Roman"/>
          <w:b w:val="false"/>
          <w:i/>
          <w:caps w:val="false"/>
          <w:smallCaps w:val="false"/>
          <w:color w:val="000000"/>
          <w:spacing w:val="0"/>
          <w:sz w:val="28"/>
          <w:szCs w:val="28"/>
          <w:shd w:fill="auto" w:val="clear"/>
        </w:rPr>
        <w:t>in vitro</w:t>
      </w:r>
      <w:r>
        <w:rPr>
          <w:rFonts w:cs="Times New Roman" w:ascii="Times New Roman" w:hAnsi="Times New Roman"/>
          <w:b w:val="false"/>
          <w:i w:val="false"/>
          <w:caps w:val="false"/>
          <w:smallCaps w:val="false"/>
          <w:color w:val="000000"/>
          <w:spacing w:val="0"/>
          <w:sz w:val="28"/>
          <w:szCs w:val="28"/>
          <w:shd w:fill="auto" w:val="clear"/>
        </w:rPr>
        <w:t xml:space="preserve"> của các nguyên bào sợi từ bệnh nhân mắc hội chứng này đều bị suy giảm, trong khi hiện tượng này không xảy ra đối ở các tế bào của nhóm chứng.</w:t>
      </w:r>
    </w:p>
    <w:p>
      <w:pPr>
        <w:pStyle w:val="BodyText"/>
        <w:widowControl/>
        <w:pBdr/>
        <w:bidi w:val="0"/>
        <w:spacing w:lineRule="auto" w:line="317"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ab/>
        <w:t>Trong Tờ thông tin sản phẩm của metronidazol, nguy cơ này được ghi nhận tại mục "Cảnh báo và thận trọng khi sử dụng". Việc chỉ định metronidazol cho bệnh nhân mắc hội chứng Cockayne cần được đánh giá lợi ích - nguy cơ và chỉ sử dụng khi không có phương pháp điều trị thay thế phù hợp. Khi sử dụng trên bệnh nhân mắc hội chứng này, cần theo dõi chặt chẽ chức năng gan cả trong và sau quá trình điều trị.</w:t>
      </w:r>
    </w:p>
    <w:p>
      <w:pPr>
        <w:pStyle w:val="BodyText"/>
        <w:widowControl/>
        <w:spacing w:lineRule="auto" w:line="317" w:before="0" w:after="0"/>
        <w:ind w:hanging="0" w:left="0" w:right="0"/>
        <w:jc w:val="right"/>
        <w:rPr>
          <w:rFonts w:ascii="Calibri;Arial" w:hAnsi="Calibri;Arial" w:cs="Times New Roman"/>
          <w:color w:val="414141"/>
          <w:sz w:val="28"/>
          <w:szCs w:val="28"/>
        </w:rPr>
      </w:pPr>
      <w:bookmarkStart w:id="6" w:name="docs-internal-guid-a6a6b345-7fff-258f-4a"/>
      <w:bookmarkEnd w:id="6"/>
      <w:r>
        <w:rPr>
          <w:rFonts w:cs="Times New Roman" w:ascii="arial;helvetica;sans-serif" w:hAnsi="arial;helvetica;sans-serif"/>
          <w:b w:val="false"/>
          <w:i w:val="false"/>
          <w:caps w:val="false"/>
          <w:smallCaps w:val="false"/>
          <w:color w:val="000000"/>
          <w:spacing w:val="0"/>
          <w:sz w:val="21"/>
          <w:szCs w:val="28"/>
          <w:shd w:fill="auto" w:val="clear"/>
        </w:rPr>
        <w:t xml:space="preserve">Nguồn: </w:t>
      </w:r>
      <w:hyperlink r:id="rId6">
        <w:r>
          <w:rPr>
            <w:rStyle w:val="Hyperlink"/>
            <w:rFonts w:cs="Times New Roman" w:ascii="arial;helvetica;sans-serif" w:hAnsi="arial;helvetica;sans-serif"/>
            <w:b w:val="false"/>
            <w:i w:val="false"/>
            <w:caps w:val="false"/>
            <w:smallCaps w:val="false"/>
            <w:strike w:val="false"/>
            <w:dstrike w:val="false"/>
            <w:color w:val="1155CC"/>
            <w:spacing w:val="0"/>
            <w:sz w:val="21"/>
            <w:szCs w:val="28"/>
            <w:u w:val="single"/>
            <w:effect w:val="none"/>
            <w:shd w:fill="auto" w:val="clear"/>
          </w:rPr>
          <w:t>https://www.rfcrpv.fr/wp-content/uploads/2022/06/VigipharmAmiens-aout-septembre-2026.pdf</w:t>
        </w:r>
      </w:hyperlink>
    </w:p>
    <w:p>
      <w:pPr>
        <w:sectPr>
          <w:type w:val="continuous"/>
          <w:pgSz w:w="12240" w:h="15840"/>
          <w:pgMar w:left="1134" w:right="1134" w:gutter="0" w:header="0" w:top="1134" w:footer="720" w:bottom="1134"/>
          <w:formProt w:val="false"/>
          <w:textDirection w:val="lrTb"/>
          <w:docGrid w:type="default" w:linePitch="360" w:charSpace="0"/>
        </w:sectPr>
      </w:pPr>
    </w:p>
    <w:p>
      <w:pPr>
        <w:pStyle w:val="BodyText"/>
        <w:widowControl/>
        <w:pBdr/>
        <w:bidi w:val="0"/>
        <w:spacing w:lineRule="auto" w:line="317" w:before="0" w:after="0"/>
        <w:ind w:hanging="0" w:left="0" w:right="0"/>
        <w:jc w:val="both"/>
        <w:rPr>
          <w:rFonts w:ascii="Times New Roman" w:hAnsi="Times New Roman"/>
          <w:b/>
          <w:bCs/>
          <w:color w:val="FF4000"/>
          <w:sz w:val="28"/>
          <w:szCs w:val="28"/>
          <w:highlight w:val="none"/>
          <w:shd w:fill="FFFF00" w:val="clear"/>
        </w:rPr>
      </w:pPr>
      <w:r>
        <w:rPr>
          <w:rFonts w:cs="Times New Roman" w:ascii="Times New Roman" w:hAnsi="Times New Roman"/>
          <w:b/>
          <w:bCs/>
          <w:color w:val="FF4000"/>
          <w:sz w:val="28"/>
          <w:szCs w:val="28"/>
          <w:shd w:fill="FFFF00" w:val="clear"/>
        </w:rPr>
        <w:t xml:space="preserve">III. </w:t>
      </w:r>
      <w:r>
        <w:rPr>
          <w:rFonts w:ascii="Times New Roman" w:hAnsi="Times New Roman"/>
          <w:b/>
          <w:bCs/>
          <w:i w:val="false"/>
          <w:caps w:val="false"/>
          <w:smallCaps w:val="false"/>
          <w:color w:val="FF4000"/>
          <w:spacing w:val="0"/>
          <w:sz w:val="28"/>
          <w:szCs w:val="28"/>
          <w:shd w:fill="FFFF00" w:val="clear"/>
        </w:rPr>
        <w:t>HSA: Nguy cơ phản ứng phản vệ khi sử dụng clorhexidin sát khuẩn da trong thực hiện các thủ thuật</w:t>
      </w:r>
    </w:p>
    <w:p>
      <w:pPr>
        <w:sectPr>
          <w:type w:val="continuous"/>
          <w:pgSz w:w="12240" w:h="15840"/>
          <w:pgMar w:left="1134" w:right="1134" w:gutter="0" w:header="0" w:top="1134" w:footer="720" w:bottom="1134"/>
          <w:pgNumType w:fmt="decimal"/>
          <w:formProt w:val="false"/>
          <w:textDirection w:val="lrTb"/>
          <w:docGrid w:type="default" w:linePitch="360" w:charSpace="0"/>
        </w:sectPr>
      </w:pPr>
    </w:p>
    <w:p>
      <w:pPr>
        <w:pStyle w:val="BodyText"/>
        <w:widowControl/>
        <w:pBdr/>
        <w:bidi w:val="0"/>
        <w:spacing w:lineRule="auto" w:line="317"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bookmarkStart w:id="7" w:name="content"/>
      <w:bookmarkStart w:id="8" w:name="docs-internal-guid-b68372c4-7fff-c0e8-ef"/>
      <w:bookmarkEnd w:id="7"/>
      <w:bookmarkEnd w:id="8"/>
      <w:r>
        <w:rPr>
          <w:rFonts w:cs="Times New Roman" w:ascii="Times New Roman" w:hAnsi="Times New Roman"/>
          <w:b w:val="false"/>
          <w:i w:val="false"/>
          <w:caps w:val="false"/>
          <w:smallCaps w:val="false"/>
          <w:color w:val="000000"/>
          <w:spacing w:val="0"/>
          <w:sz w:val="28"/>
          <w:szCs w:val="28"/>
          <w:shd w:fill="auto" w:val="clear"/>
        </w:rPr>
        <w:tab/>
        <w:t xml:space="preserve">Case lâm sàng: Một bệnh nhân nam 69 tuổi suy thận giai đoạn cuối, đang điều trị lọc máu đã nhập viện do huyết khối tái phát tại cầu nối động-tĩnh mạch (arteriovenous graft - AVG). Trong thời gian nằm viện, bệnh nhân xuất hiện phản vệ sau 15 phút kể từ khi bắt đầu lọc máu với các biểu hiện hạ huyết áp, mày đay và phù mạch. Sau đó, màng lọc máu được thay bằng loại mà bệnh nhân đã sử dụng trong các lần lọc máu trước đây. Các lần lọc máu tiếp theo đã được tiến hành và không ghi nhận biến cố bất thường nào. </w:t>
        <w:tab/>
        <w:t>Khoảng một năm sau, bệnh nhân lại nhập viện do tái phát huyết khối và một lần nữa xuất hiện phản vệ, mặc dù đã sử dụng cùng loại màng lọc trước đây. Nồng độ tryptase huyết thanh trong vòng hai giờ kể từ khi xảy ra cả hai đợt phản vệ đều tăng, lần lượt là 28,6 và 32,5 µg/L rồi giảm đáng kể sau 24 giờ. Ethylene oxide được sử dụng để khử trùng thiết bị lọc máu ở một trong hai đợt, trong khi dung dịch clorhexidin sát khuẩn da trong cả hai đợt. Heparin được sử dụng trong cả hai đợt cũng như trong tất cả các buổi lọc máu ngoại trú. Không có thuốc nào khác được sử dụng trong hai buổi lọc máu xảy ra phản vệ.</w:t>
      </w:r>
    </w:p>
    <w:p>
      <w:pPr>
        <w:pStyle w:val="BodyText"/>
        <w:widowControl/>
        <w:pBdr/>
        <w:bidi w:val="0"/>
        <w:spacing w:lineRule="auto" w:line="317" w:before="0" w:after="0"/>
        <w:ind w:hanging="0" w:left="0" w:right="0"/>
        <w:jc w:val="both"/>
        <w:rPr>
          <w:rFonts w:ascii="Times New Roman" w:hAnsi="Times New Roman" w:cs="Times New Roman"/>
          <w:color w:val="000000"/>
          <w:sz w:val="28"/>
          <w:szCs w:val="28"/>
        </w:rPr>
      </w:pPr>
      <w:bookmarkStart w:id="9" w:name="docs-internal-guid-b68372c4-7fff-c0e8-e1"/>
      <w:bookmarkEnd w:id="9"/>
      <w:r>
        <w:rPr>
          <w:rFonts w:cs="Times New Roman" w:ascii="Times New Roman" w:hAnsi="Times New Roman"/>
          <w:b w:val="false"/>
          <w:i w:val="false"/>
          <w:caps w:val="false"/>
          <w:smallCaps w:val="false"/>
          <w:color w:val="000000"/>
          <w:spacing w:val="0"/>
          <w:sz w:val="28"/>
          <w:szCs w:val="28"/>
          <w:shd w:fill="auto" w:val="clear"/>
        </w:rPr>
        <w:tab/>
        <w:t>Phản vệ tái xuất hiện ở case lâm sàng trên được xác định là do sử dụng dung dịch clorhexidin dùng ngoài da. </w:t>
      </w:r>
    </w:p>
    <w:p>
      <w:pPr>
        <w:pStyle w:val="BodyText"/>
        <w:widowControl/>
        <w:pBdr/>
        <w:bidi w:val="0"/>
        <w:spacing w:lineRule="auto" w:line="317"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bookmarkStart w:id="10" w:name="docs-internal-guid-b68372c4-7fff-c0e8-e2"/>
      <w:bookmarkEnd w:id="10"/>
      <w:r>
        <w:rPr>
          <w:rFonts w:cs="Times New Roman" w:ascii="Times New Roman" w:hAnsi="Times New Roman"/>
          <w:b w:val="false"/>
          <w:i w:val="false"/>
          <w:caps w:val="false"/>
          <w:smallCaps w:val="false"/>
          <w:color w:val="000000"/>
          <w:spacing w:val="0"/>
          <w:sz w:val="28"/>
          <w:szCs w:val="28"/>
          <w:shd w:fill="auto" w:val="clear"/>
        </w:rPr>
        <w:t>Nhân viên y tế đã tiến hành đánh giá và loại trừ các yếu tố khác có thể gây phản vệ ở bệnh nhân. Xét nghiệm IgE đặc hiệu với ethylene oxid được thực hiện và cho kết quả âm tính. Heparin và màng lọc máu được loại trừ bởi chúng được sử dụng trong các buổi lọc máu ngoại trú mà không xuất hiện biến cố bất lợi. Khai thác thêm tiền sử cho thấy clorhexidin chỉ được sử dụng trong thời gian bệnh nhân nằm viện và không được sử dụng trong các buổi lọc máu ngoại trú. Xét nghiệm IgE đặc hiệu với clorhexidin cho kết quả nồng độ tăng, bệnh nhân có dị ứng với clorhexidin (phản ứng quá mẫn typ I). Bệnh nhân đã được tư vấn tránh sử dụng clorhexidin trong tương lai, đồng thời hồ sơ bệnh án của bệnh nhân cũng ghi nhận tình trạng dị ứng với clorhexidin nhằm đảm bảo an toàn cho bệnh nhân trong những lần điều trị tiếp theo. </w:t>
      </w:r>
    </w:p>
    <w:p>
      <w:pPr>
        <w:pStyle w:val="BodyText"/>
        <w:widowControl/>
        <w:pBdr/>
        <w:bidi w:val="0"/>
        <w:spacing w:lineRule="auto" w:line="317" w:before="0" w:after="0"/>
        <w:ind w:hanging="0" w:left="0" w:right="0"/>
        <w:jc w:val="both"/>
        <w:rPr>
          <w:rFonts w:ascii="Times New Roman" w:hAnsi="Times New Roman" w:cs="Times New Roman"/>
          <w:color w:val="000000"/>
          <w:sz w:val="28"/>
          <w:szCs w:val="28"/>
        </w:rPr>
      </w:pPr>
      <w:r>
        <w:rPr>
          <w:rFonts w:cs="Times New Roman" w:ascii="Times New Roman" w:hAnsi="Times New Roman"/>
          <w:b/>
          <w:i w:val="false"/>
          <w:caps w:val="false"/>
          <w:smallCaps w:val="false"/>
          <w:color w:val="000000"/>
          <w:spacing w:val="0"/>
          <w:sz w:val="28"/>
          <w:szCs w:val="28"/>
          <w:shd w:fill="auto" w:val="clear"/>
        </w:rPr>
        <w:tab/>
        <w:t>Phản ứng dị ứng do clorhexidin</w:t>
      </w:r>
    </w:p>
    <w:p>
      <w:pPr>
        <w:pStyle w:val="BodyText"/>
        <w:widowControl/>
        <w:pBdr/>
        <w:bidi w:val="0"/>
        <w:spacing w:lineRule="auto" w:line="317"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bookmarkStart w:id="11" w:name="docs-internal-guid-b68372c4-7fff-c0e8-e3"/>
      <w:bookmarkEnd w:id="11"/>
      <w:r>
        <w:rPr>
          <w:rFonts w:cs="Times New Roman" w:ascii="Times New Roman" w:hAnsi="Times New Roman"/>
          <w:b w:val="false"/>
          <w:i w:val="false"/>
          <w:caps w:val="false"/>
          <w:smallCaps w:val="false"/>
          <w:color w:val="000000"/>
          <w:spacing w:val="0"/>
          <w:sz w:val="28"/>
          <w:szCs w:val="28"/>
          <w:shd w:fill="auto" w:val="clear"/>
        </w:rPr>
        <w:tab/>
        <w:t>Clorhexidin là một chất kháng khuẩn phổ rộng, có hiệu quả đối với vi khuẩn trên da. Clorhexidin có trong nhiều chế phẩm sát khuẩn dùng ngoài da và tại chỗ trên da hoặc niêm mạc miệng như kem, khăn lau, dung dịch vệ sinh, nước súc miệng, dung dịch ngâm kính áp tròng, viên ngậm, thuốc gây tê dùng tại chỗ và băng gạc kháng khuẩn. Một số catheter cũng có thể được tẩm clorhexidin giúp phòng ngừa nhiễm khuẩn. Việc xác định nguyên nhân dị ứng là clorhexidin có thể gặp khó khăn do bệnh nhân có thể tiếp xúc với clorhexidin từ nhiều nguồn khác nhau. Clorhexidin cũng là một dị nguyên thường bị bỏ sót trong trường hợp chu phẫu bởi nó thường được sử dụng để sát khuẩn da trước phẫu thuật hoặc trước khi đặt kim và các đường truyền. Mặc dù phản ứng dị ứng với clorhexidin hiếm gặp nhưng nó đang ngày càng được xác định rõ ràng hơn.</w:t>
      </w:r>
    </w:p>
    <w:p>
      <w:pPr>
        <w:pStyle w:val="BodyText"/>
        <w:widowControl/>
        <w:pBdr/>
        <w:bidi w:val="0"/>
        <w:spacing w:lineRule="auto" w:line="317" w:before="0" w:after="0"/>
        <w:ind w:hanging="0" w:left="0" w:right="0"/>
        <w:jc w:val="both"/>
        <w:rPr>
          <w:rFonts w:ascii="Times New Roman" w:hAnsi="Times New Roman" w:cs="Times New Roman"/>
          <w:b/>
          <w:i w:val="false"/>
          <w:caps w:val="false"/>
          <w:smallCaps w:val="false"/>
          <w:color w:val="000000"/>
          <w:spacing w:val="0"/>
          <w:sz w:val="28"/>
          <w:szCs w:val="28"/>
          <w:shd w:fill="auto" w:val="clear"/>
        </w:rPr>
      </w:pPr>
      <w:r>
        <w:rPr>
          <w:rFonts w:cs="Times New Roman" w:ascii="Times New Roman" w:hAnsi="Times New Roman"/>
          <w:b/>
          <w:i w:val="false"/>
          <w:caps w:val="false"/>
          <w:smallCaps w:val="false"/>
          <w:color w:val="000000"/>
          <w:spacing w:val="0"/>
          <w:sz w:val="28"/>
          <w:szCs w:val="28"/>
          <w:shd w:fill="auto" w:val="clear"/>
        </w:rPr>
        <w:t xml:space="preserve">       </w:t>
      </w:r>
      <w:r>
        <w:rPr>
          <w:rFonts w:cs="Times New Roman" w:ascii="Times New Roman" w:hAnsi="Times New Roman"/>
          <w:b/>
          <w:i w:val="false"/>
          <w:caps w:val="false"/>
          <w:smallCaps w:val="false"/>
          <w:color w:val="000000"/>
          <w:spacing w:val="0"/>
          <w:sz w:val="28"/>
          <w:szCs w:val="28"/>
          <w:shd w:fill="auto" w:val="clear"/>
        </w:rPr>
        <w:t xml:space="preserve">Dữ liệu tại Singapore </w:t>
      </w:r>
      <w:r>
        <w:rPr>
          <w:rFonts w:cs="Times New Roman" w:ascii="Times New Roman" w:hAnsi="Times New Roman"/>
          <w:b w:val="false"/>
          <w:i w:val="false"/>
          <w:caps w:val="false"/>
          <w:smallCaps w:val="false"/>
          <w:color w:val="000000"/>
          <w:spacing w:val="0"/>
          <w:sz w:val="28"/>
          <w:szCs w:val="28"/>
          <w:shd w:fill="auto" w:val="clear"/>
        </w:rPr>
        <w:t>Tính đến ngày 01/09/2026, HSA đã tiếp nhận 95 báo cáo về phản vệ liên quan đến clorhexidin. Con số này tăng đáng kể so với 15 trường hợp phản vệ được báo cáo trong năm 2017, thời điểm HSA đã ban hành thông tin về nguy cơ phản ứng dị ứng nghiêm trọng liên quan đến clorhexidin. Điều này cho thấy nhận thức của nhân viên y tế về clorhexidin như một dị nguyên tiềm ẩn ngày càng tăng, việc nhận diện và báo cáo các phản ứng quá mẫn được cải thiện cũng như sự gia tăng sử dụng các sản phẩm chứa clorhexidin trong cơ sở y tế. Trong số 95 báo cáo, bệnh nhân có độ tuổi từ 16 đến 87 tuổi, trong đó nam giới chiếm đa số (n = 54). Có 29 trường hợp được báo cáo đồng thời với các thuốc khác được nghi ngờ là tác nhân gây phản vệ, phổ biến nhất là atracurium, cefazolin, lidocain, bupivacain và midazolam -  những thuốc thường được sử dụng trong giai đoạn chu phẫu. Trong 23 trường hợp, clorhexidin được xác định là tác nhân gây phản ứng sau khi thực hiện xét nghiệm dị ứng, bao gồm test lẩy da (15 trường hợp), test trong da (4 trường hợp) và cả hai phương pháp (2 trường hợp) hoặc không ghi nhận loại xét nghiệm được thực hiện (2 trường hợp). </w:t>
      </w:r>
    </w:p>
    <w:p>
      <w:pPr>
        <w:pStyle w:val="BodyText"/>
        <w:widowControl/>
        <w:pBdr/>
        <w:bidi w:val="0"/>
        <w:spacing w:lineRule="auto" w:line="317"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bookmarkStart w:id="12" w:name="docs-internal-guid-b68372c4-7fff-c0e8-e4"/>
      <w:bookmarkEnd w:id="12"/>
      <w:r>
        <w:rPr>
          <w:rFonts w:cs="Times New Roman" w:ascii="Times New Roman" w:hAnsi="Times New Roman"/>
          <w:b w:val="false"/>
          <w:i w:val="false"/>
          <w:caps w:val="false"/>
          <w:smallCaps w:val="false"/>
          <w:color w:val="000000"/>
          <w:spacing w:val="0"/>
          <w:sz w:val="28"/>
          <w:szCs w:val="28"/>
          <w:shd w:fill="auto" w:val="clear"/>
        </w:rPr>
        <w:tab/>
        <w:t>Ngoài trường hợp được đề cập trong bài viết này, HSA đã tiếp nhận hai trường hợp phản vệ xảy ra trong quá trình lọc máu, đều là phụ nữ ở độ tuổi 60 tuổi. Cả hai bệnh nhân đều xuất hiện phản ứng quá mẫn tái diễn trong các buổi lọc máu, trong đó clorhexidin được sử dụng làm chất làm sạch. Sau đó, clorhexidin được xác định là tác nhân gây phản ứng thông qua test lẩy da hoặc test trong da ở cả hai trường hợp. </w:t>
      </w:r>
    </w:p>
    <w:p>
      <w:pPr>
        <w:pStyle w:val="BodyText"/>
        <w:widowControl/>
        <w:pBdr/>
        <w:bidi w:val="0"/>
        <w:spacing w:lineRule="auto" w:line="317" w:before="0" w:after="0"/>
        <w:ind w:hanging="0" w:left="0" w:right="0"/>
        <w:jc w:val="both"/>
        <w:rPr>
          <w:rFonts w:ascii="Times New Roman" w:hAnsi="Times New Roman" w:cs="Times New Roman"/>
          <w:color w:val="000000"/>
          <w:sz w:val="28"/>
          <w:szCs w:val="28"/>
        </w:rPr>
      </w:pPr>
      <w:bookmarkStart w:id="13" w:name="docs-internal-guid-b68372c4-7fff-c0e8-e5"/>
      <w:bookmarkEnd w:id="13"/>
      <w:r>
        <w:rPr>
          <w:rFonts w:cs="Times New Roman" w:ascii="Times New Roman" w:hAnsi="Times New Roman"/>
          <w:b/>
          <w:i w:val="false"/>
          <w:caps w:val="false"/>
          <w:smallCaps w:val="false"/>
          <w:color w:val="000000"/>
          <w:spacing w:val="0"/>
          <w:sz w:val="28"/>
          <w:szCs w:val="28"/>
          <w:shd w:fill="auto" w:val="clear"/>
        </w:rPr>
        <w:tab/>
        <w:t>Khuyến cáo của HSA</w:t>
      </w:r>
    </w:p>
    <w:p>
      <w:pPr>
        <w:pStyle w:val="BodyText"/>
        <w:widowControl/>
        <w:pBdr/>
        <w:bidi w:val="0"/>
        <w:spacing w:lineRule="auto" w:line="317"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bookmarkStart w:id="14" w:name="docs-internal-guid-b68372c4-7fff-c0e8-e6"/>
      <w:bookmarkEnd w:id="14"/>
      <w:r>
        <w:rPr>
          <w:rFonts w:cs="Times New Roman" w:ascii="Times New Roman" w:hAnsi="Times New Roman"/>
          <w:b w:val="false"/>
          <w:i w:val="false"/>
          <w:caps w:val="false"/>
          <w:smallCaps w:val="false"/>
          <w:color w:val="000000"/>
          <w:spacing w:val="0"/>
          <w:sz w:val="28"/>
          <w:szCs w:val="28"/>
          <w:shd w:fill="auto" w:val="clear"/>
        </w:rPr>
        <w:tab/>
        <w:t>Clorhexidin được sử dụng rộng rãi trong quy trình chuẩn bị cho lọc máu ở bệnh nhân nội trú và trong các thủ thuật chu phẫu, đồng thời có mặt trong nhiều sản phẩm được bán rộng rãi không cần kê đơn. Mặc dù được sử dụng phổ biến, phản vệ do clorhexidin hiếm gặp và dễ bị bỏ quả. Phản vệ xảy ra trong quá trình lọc máu là một thách thức trong chẩn đoán, do bệnh nhân có thể đồng thời tiếp xúc với nhiều yếu tố có khả năng gây dị ứng, khiến việc xác định nguyên  trở nên khó khăn.</w:t>
      </w:r>
    </w:p>
    <w:p>
      <w:pPr>
        <w:pStyle w:val="BodyText"/>
        <w:widowControl/>
        <w:pBdr/>
        <w:bidi w:val="0"/>
        <w:spacing w:lineRule="auto" w:line="317" w:before="0" w:after="0"/>
        <w:ind w:hanging="0" w:left="0" w:right="0"/>
        <w:jc w:val="both"/>
        <w:rPr>
          <w:rFonts w:ascii="Times New Roman" w:hAnsi="Times New Roman" w:cs="Times New Roman"/>
          <w:b w:val="false"/>
          <w:i w:val="false"/>
          <w:caps w:val="false"/>
          <w:smallCaps w:val="false"/>
          <w:color w:val="000000"/>
          <w:spacing w:val="0"/>
          <w:sz w:val="28"/>
          <w:szCs w:val="28"/>
          <w:shd w:fill="auto" w:val="clear"/>
        </w:rPr>
      </w:pPr>
      <w:r>
        <w:rPr>
          <w:rFonts w:cs="Times New Roman" w:ascii="Times New Roman" w:hAnsi="Times New Roman"/>
          <w:b w:val="false"/>
          <w:i w:val="false"/>
          <w:caps w:val="false"/>
          <w:smallCaps w:val="false"/>
          <w:color w:val="000000"/>
          <w:spacing w:val="0"/>
          <w:sz w:val="28"/>
          <w:szCs w:val="28"/>
          <w:shd w:fill="auto" w:val="clear"/>
        </w:rPr>
        <w:t>Nhân viên y tế cần lưu ý và cảnh giác, đồng thời cân nhắc clorhexidin có thể là nguyên nhân của các phản ứng phản vệ xảy ra trong hoặc liên quan đến quá trình thực hiện thủ thuật. Những trường hợp này có thể cần được chuyển đến khoa Dị ứng - Miễn dịch để xác định nguyên nhân gây phản vệ.</w:t>
      </w:r>
    </w:p>
    <w:p>
      <w:pPr>
        <w:pStyle w:val="BodyText"/>
        <w:widowControl/>
        <w:pBdr/>
        <w:bidi w:val="0"/>
        <w:spacing w:lineRule="auto" w:line="317" w:before="0" w:after="0"/>
        <w:ind w:hanging="0" w:left="0" w:right="0"/>
        <w:jc w:val="both"/>
        <w:rPr>
          <w:rFonts w:ascii="Times New Roman" w:hAnsi="Times New Roman" w:cs="Times New Roman"/>
          <w:color w:val="000000"/>
          <w:sz w:val="28"/>
          <w:szCs w:val="28"/>
        </w:rPr>
      </w:pPr>
      <w:r>
        <w:rPr>
          <w:rFonts w:cs="Times New Roman" w:ascii="arial;helvetica;sans-serif" w:hAnsi="arial;helvetica;sans-serif"/>
          <w:b w:val="false"/>
          <w:i w:val="false"/>
          <w:caps w:val="false"/>
          <w:smallCaps w:val="false"/>
          <w:color w:val="414141"/>
          <w:spacing w:val="0"/>
          <w:sz w:val="21"/>
          <w:szCs w:val="28"/>
        </w:rPr>
        <w:t>Nguồn: </w:t>
      </w:r>
      <w:hyperlink r:id="rId7">
        <w:r>
          <w:rPr>
            <w:rStyle w:val="Hyperlink"/>
            <w:rFonts w:cs="Times New Roman" w:ascii="arial;helvetica;sans-serif" w:hAnsi="arial;helvetica;sans-serif"/>
            <w:b w:val="false"/>
            <w:i w:val="false"/>
            <w:caps w:val="false"/>
            <w:smallCaps w:val="false"/>
            <w:strike w:val="false"/>
            <w:dstrike w:val="false"/>
            <w:color w:val="1155CC"/>
            <w:spacing w:val="0"/>
            <w:sz w:val="21"/>
            <w:szCs w:val="28"/>
            <w:u w:val="single"/>
            <w:effect w:val="none"/>
            <w:shd w:fill="auto" w:val="clear"/>
          </w:rPr>
          <w:t>ADR News Sep 2026 Vol 28 No2.pdf</w:t>
        </w:r>
      </w:hyperlink>
    </w:p>
    <w:p>
      <w:pPr>
        <w:sectPr>
          <w:type w:val="continuous"/>
          <w:pgSz w:w="12240" w:h="15840"/>
          <w:pgMar w:left="1134" w:right="1134" w:gutter="0" w:header="0" w:top="1134" w:footer="720" w:bottom="1134"/>
          <w:formProt w:val="false"/>
          <w:textDirection w:val="lrTb"/>
          <w:docGrid w:type="default" w:linePitch="360" w:charSpace="0"/>
        </w:sectPr>
      </w:pPr>
    </w:p>
    <w:p>
      <w:pPr>
        <w:pStyle w:val="Normal"/>
        <w:spacing w:lineRule="auto" w:line="240" w:before="0" w:after="0"/>
        <w:rPr>
          <w:rFonts w:ascii="Times New Roman" w:hAnsi="Times New Roman"/>
          <w:color w:val="FF4000"/>
          <w:sz w:val="28"/>
          <w:szCs w:val="28"/>
          <w:shd w:fill="FFFF00" w:val="clear"/>
        </w:rPr>
      </w:pPr>
      <w:r>
        <w:rPr>
          <w:rFonts w:cs="Times New Roman" w:ascii="Times New Roman" w:hAnsi="Times New Roman"/>
          <w:b/>
          <w:bCs/>
          <w:color w:val="FF4000"/>
          <w:sz w:val="28"/>
          <w:szCs w:val="28"/>
          <w:shd w:fill="FFFF00" w:val="clear"/>
        </w:rPr>
        <w:t>IV.</w:t>
      </w:r>
      <w:r>
        <w:rPr>
          <w:rFonts w:ascii="Times New Roman" w:hAnsi="Times New Roman"/>
          <w:b/>
          <w:bCs/>
          <w:i w:val="false"/>
          <w:caps w:val="false"/>
          <w:smallCaps w:val="false"/>
          <w:color w:val="FF4000"/>
          <w:spacing w:val="0"/>
          <w:sz w:val="28"/>
          <w:szCs w:val="28"/>
          <w:shd w:fill="FFFF00" w:val="clear"/>
        </w:rPr>
        <w:t>Glucocorticoid và nguy cơ rối loạn tâm thần cần khởi trị với thuốc ức chế tái hấp thu serotonin (SSRI) trên bệnh nhân viêm khớp dạng thấp: Thông tin từ Bản tin BIP Occitane số 03/2026</w:t>
      </w:r>
    </w:p>
    <w:p>
      <w:pPr>
        <w:sectPr>
          <w:type w:val="continuous"/>
          <w:pgSz w:w="12240" w:h="15840"/>
          <w:pgMar w:left="1134" w:right="1134" w:gutter="0" w:header="0" w:top="1134" w:footer="720" w:bottom="1134"/>
          <w:pgNumType w:fmt="decimal"/>
          <w:formProt w:val="false"/>
          <w:textDirection w:val="lrTb"/>
          <w:docGrid w:type="default" w:linePitch="360" w:charSpace="0"/>
        </w:sectPr>
      </w:pPr>
    </w:p>
    <w:p>
      <w:pPr>
        <w:pStyle w:val="Normal"/>
        <w:widowControl/>
        <w:spacing w:before="0" w:after="0"/>
        <w:ind w:hanging="0" w:left="0" w:right="0"/>
        <w:jc w:val="left"/>
        <w:rPr>
          <w:rFonts w:ascii="Times New Roman" w:hAnsi="Times New Roman"/>
          <w:b w:val="false"/>
          <w:i w:val="false"/>
          <w:caps w:val="false"/>
          <w:smallCaps w:val="false"/>
          <w:color w:val="999999"/>
          <w:spacing w:val="0"/>
          <w:sz w:val="28"/>
          <w:szCs w:val="28"/>
        </w:rPr>
      </w:pPr>
      <w:bookmarkStart w:id="15" w:name="content_Copy_1"/>
      <w:bookmarkStart w:id="16" w:name="docs-internal-guid-11129cf0-7fff-19c0-22"/>
      <w:bookmarkEnd w:id="15"/>
      <w:bookmarkEnd w:id="16"/>
      <w:r>
        <w:rPr>
          <w:rFonts w:cs="Times New Roman" w:ascii="Times New Roman" w:hAnsi="Times New Roman"/>
          <w:b w:val="false"/>
          <w:i w:val="false"/>
          <w:caps w:val="false"/>
          <w:smallCaps w:val="false"/>
          <w:color w:val="000000"/>
          <w:spacing w:val="0"/>
          <w:sz w:val="28"/>
          <w:szCs w:val="28"/>
          <w:shd w:fill="auto" w:val="clear"/>
        </w:rPr>
        <w:tab/>
        <w:t>Rối loạn miễn dịch và tình trạng viêm mạn tính được cho là có liên quan đến sự phát triển của các rối loạn lo âu, tuy nhiên cơ chế cụ thể vẫn chưa được làm rõ. Để đánh giá tác động của thuốc ức chế miễn dịch mạnh như glucocorticoid, một nghiên cứu bệnh - chứng đã được thực hiện nhằm xác định mối liên quan giữa việc sử dụng glucocorticoid đường toàn thân và việc bắt đầu điều trị bằng thuốc ức chế tái hấp thu serotonin (SSRI) - một tiêu chí gián tiếp đại diện cho các rối loạn tâm thần kinh cần can thiệp bằng thuốc (chủ yếu là lo âu và/hoặc trầm cảm). Nghiên cứu dựa trên dữ liệu từ hệ thống chăm sóc sức khỏe ban đầu tại Vương quốc Anh (CPRD Aurum), bao gồm các bệnh nhân từ 18 tuổi trở lên được chẩn đoán viêm khớp dạng thấp từ ngày 01/01/2010 đến 31/12/2019.   </w:t>
      </w:r>
    </w:p>
    <w:p>
      <w:pPr>
        <w:sectPr>
          <w:type w:val="continuous"/>
          <w:pgSz w:w="12240" w:h="15840"/>
          <w:pgMar w:left="1134" w:right="1134" w:gutter="0" w:header="0" w:top="1134" w:footer="720" w:bottom="1134"/>
          <w:formProt w:val="false"/>
          <w:textDirection w:val="lrTb"/>
          <w:docGrid w:type="default" w:linePitch="360" w:charSpace="0"/>
        </w:sectPr>
      </w:pPr>
    </w:p>
    <w:p>
      <w:pPr>
        <w:pStyle w:val="BodyText"/>
        <w:widowControl/>
        <w:pBdr/>
        <w:bidi w:val="0"/>
        <w:spacing w:lineRule="auto" w:line="288" w:before="80" w:after="80"/>
        <w:ind w:hanging="0" w:left="0" w:right="0"/>
        <w:jc w:val="both"/>
        <w:rPr>
          <w:rFonts w:ascii="Times New Roman" w:hAnsi="Times New Roman" w:cs="Times New Roman"/>
          <w:caps w:val="false"/>
          <w:smallCaps w:val="false"/>
          <w:color w:val="414141"/>
          <w:spacing w:val="0"/>
          <w:sz w:val="28"/>
          <w:szCs w:val="28"/>
        </w:rPr>
      </w:pPr>
      <w:r>
        <w:rPr>
          <w:rFonts w:cs="Times New Roman" w:ascii="Times New Roman" w:hAnsi="Times New Roman"/>
          <w:caps w:val="false"/>
          <w:smallCaps w:val="false"/>
          <w:color w:val="414141"/>
          <w:spacing w:val="0"/>
          <w:sz w:val="28"/>
          <w:szCs w:val="28"/>
        </w:rPr>
        <w:t> </w:t>
      </w:r>
      <w:bookmarkStart w:id="17" w:name="docs-internal-guid-11129cf0-7fff-19c0-21"/>
      <w:bookmarkEnd w:id="17"/>
      <w:r>
        <w:rPr>
          <w:rFonts w:cs="Times New Roman" w:ascii="Times New Roman" w:hAnsi="Times New Roman"/>
          <w:caps w:val="false"/>
          <w:smallCaps w:val="false"/>
          <w:color w:val="414141"/>
          <w:spacing w:val="0"/>
          <w:sz w:val="28"/>
          <w:szCs w:val="28"/>
        </w:rPr>
        <w:tab/>
      </w:r>
      <w:r>
        <w:rPr>
          <w:rFonts w:cs="Times New Roman" w:ascii="Times New Roman" w:hAnsi="Times New Roman"/>
          <w:b w:val="false"/>
          <w:i w:val="false"/>
          <w:caps w:val="false"/>
          <w:smallCaps w:val="false"/>
          <w:color w:val="000000"/>
          <w:spacing w:val="0"/>
          <w:sz w:val="28"/>
          <w:szCs w:val="28"/>
          <w:shd w:fill="auto" w:val="clear"/>
        </w:rPr>
        <w:t>Trong nghiên cứu này, các bệnh nhân viêm khớp dạng thấp có đơn thuốc SSRI đầu tiên (nhóm bệnh) được ghép cặp với những bệnh nhân không sử dụng SSRI (nhóm chứng) theo giới tính, năm sinh, thời gian mắc viêm khớp dạng thấp và cơ sở khám chữa bệnh. Những bệnh nhân có tiền sử chẩn đoán trầm cảm hoặc từng sử dụng thuốc chống trầm cảm trước thời điểm đưa vào thuần tập đã được loại trừ.   </w:t>
      </w:r>
    </w:p>
    <w:p>
      <w:pPr>
        <w:pStyle w:val="BodyText"/>
        <w:widowControl/>
        <w:pBdr/>
        <w:bidi w:val="0"/>
        <w:spacing w:lineRule="auto" w:line="288" w:before="80" w:after="80"/>
        <w:ind w:hanging="0" w:left="0" w:right="0"/>
        <w:jc w:val="both"/>
        <w:rPr>
          <w:rFonts w:ascii="Times New Roman" w:hAnsi="Times New Roman" w:cs="Times New Roman"/>
          <w:caps w:val="false"/>
          <w:smallCaps w:val="false"/>
          <w:color w:val="414141"/>
          <w:spacing w:val="0"/>
          <w:sz w:val="28"/>
          <w:szCs w:val="28"/>
        </w:rPr>
      </w:pPr>
      <w:r>
        <w:rPr>
          <w:rFonts w:cs="Times New Roman" w:ascii="Times New Roman" w:hAnsi="Times New Roman"/>
          <w:caps w:val="false"/>
          <w:smallCaps w:val="false"/>
          <w:color w:val="414141"/>
          <w:spacing w:val="0"/>
          <w:sz w:val="28"/>
          <w:szCs w:val="28"/>
        </w:rPr>
        <w:t> </w:t>
      </w:r>
      <w:bookmarkStart w:id="18" w:name="docs-internal-guid-11129cf0-7fff-19c0-23"/>
      <w:bookmarkEnd w:id="18"/>
      <w:r>
        <w:rPr>
          <w:rFonts w:cs="Times New Roman" w:ascii="Times New Roman" w:hAnsi="Times New Roman"/>
          <w:caps w:val="false"/>
          <w:smallCaps w:val="false"/>
          <w:color w:val="414141"/>
          <w:spacing w:val="0"/>
          <w:sz w:val="28"/>
          <w:szCs w:val="28"/>
        </w:rPr>
        <w:tab/>
      </w:r>
      <w:r>
        <w:rPr>
          <w:rFonts w:cs="Times New Roman" w:ascii="Times New Roman" w:hAnsi="Times New Roman"/>
          <w:b w:val="false"/>
          <w:i w:val="false"/>
          <w:caps w:val="false"/>
          <w:smallCaps w:val="false"/>
          <w:color w:val="000000"/>
          <w:spacing w:val="0"/>
          <w:sz w:val="28"/>
          <w:szCs w:val="28"/>
          <w:shd w:fill="auto" w:val="clear"/>
        </w:rPr>
        <w:t>Dữ liệu từ 128.595 bệnh nhân viêm khớp dạng thấp, nghiên cứu xác định được 3.134 bệnh nhân nhóm bệnh và 4.142 bệnh nhân nhóm chứng. Sau khi hiệu chỉnh, kết quả cho thấy cả việc phơi nhiễm với glucocorticoid trong vòng 6 tháng gần đây (aOR: 1,53; KTC 95%: 1,32–1,78) và phơi nhiễm trong khoảng 6–12 tháng trước đó (aOR: 1,40; KTC 95%: 1,07–1,83) đều làm tăng đáng kể nguy cơ phải khởi trị bằng SSRI. Ngược lại, việc sử dụng thuốc cách thời điểm đánh giá trên 1 năm không làm tăng nguy cơ này một cách có ý nghĩa thống kê (aOR: 1,07; KTC 95%: 0,93–1,23). Nguy cơ này độc lập với liều tích lũy hoặc số đơn thuốc glucocorticoid được kê trong vòng một năm trước thời điểm đánh giá.  </w:t>
      </w:r>
    </w:p>
    <w:p>
      <w:pPr>
        <w:pStyle w:val="BodyText"/>
        <w:widowControl/>
        <w:pBdr/>
        <w:bidi w:val="0"/>
        <w:spacing w:lineRule="auto" w:line="288" w:before="80" w:after="80"/>
        <w:ind w:hanging="0" w:left="0" w:right="0"/>
        <w:jc w:val="both"/>
        <w:rPr>
          <w:rFonts w:ascii="Times New Roman" w:hAnsi="Times New Roman" w:cs="Times New Roman"/>
          <w:caps w:val="false"/>
          <w:smallCaps w:val="false"/>
          <w:color w:val="414141"/>
          <w:spacing w:val="0"/>
          <w:sz w:val="28"/>
          <w:szCs w:val="28"/>
        </w:rPr>
      </w:pPr>
      <w:r>
        <w:rPr>
          <w:rFonts w:cs="Times New Roman" w:ascii="Times New Roman" w:hAnsi="Times New Roman"/>
          <w:caps w:val="false"/>
          <w:smallCaps w:val="false"/>
          <w:color w:val="414141"/>
          <w:spacing w:val="0"/>
          <w:sz w:val="28"/>
          <w:szCs w:val="28"/>
        </w:rPr>
        <w:t> </w:t>
      </w:r>
      <w:bookmarkStart w:id="19" w:name="docs-internal-guid-11129cf0-7fff-19c0-24"/>
      <w:bookmarkEnd w:id="19"/>
      <w:r>
        <w:rPr>
          <w:rFonts w:cs="Times New Roman" w:ascii="Times New Roman" w:hAnsi="Times New Roman"/>
          <w:caps w:val="false"/>
          <w:smallCaps w:val="false"/>
          <w:color w:val="414141"/>
          <w:spacing w:val="0"/>
          <w:sz w:val="28"/>
          <w:szCs w:val="28"/>
        </w:rPr>
        <w:tab/>
      </w:r>
      <w:r>
        <w:rPr>
          <w:rFonts w:cs="Times New Roman" w:ascii="Times New Roman" w:hAnsi="Times New Roman"/>
          <w:b w:val="false"/>
          <w:i w:val="false"/>
          <w:caps w:val="false"/>
          <w:smallCaps w:val="false"/>
          <w:color w:val="000000"/>
          <w:spacing w:val="0"/>
          <w:sz w:val="28"/>
          <w:szCs w:val="28"/>
          <w:shd w:fill="auto" w:val="clear"/>
        </w:rPr>
        <w:t>Kết quả nghiên cứu cho thấy việc sử dụng glucocorticoid đường toàn thân ở bệnh nhân viêm khớp dạng thấp có liên quan đến sự gia tăng khả năng cần bắt đầu điều trị bằng thuốc SSRI, đặc biệt là trong vòng 1 năm sau khi dùng thuốc. Mặc dù nghiên cứu chưa thể tách biệt hoàn toàn tác động dược lý trực tiếp của glucocorticoid với yếu tố gây nhiễu từ các đợt bùng phát cấp tính của bệnh viêm khớp dạng thấp, bác sĩ lâm sàng vẫn cần hết sức lưu ý và giám sát chặt chẽ các biểu hiện lo âu, trầm cảm ở bệnh nhân trong và sau quá trình điều trị bằng nhóm thuốc này.</w:t>
      </w:r>
    </w:p>
    <w:p>
      <w:pPr>
        <w:pStyle w:val="BodyText"/>
        <w:widowControl/>
        <w:pBdr/>
        <w:bidi w:val="0"/>
        <w:spacing w:lineRule="auto" w:line="288" w:before="80" w:after="80"/>
        <w:ind w:hanging="0" w:left="0" w:right="0"/>
        <w:jc w:val="both"/>
        <w:rPr>
          <w:rFonts w:ascii="Times New Roman" w:hAnsi="Times New Roman" w:cs="Times New Roman"/>
          <w:color w:val="414141"/>
          <w:sz w:val="28"/>
          <w:szCs w:val="28"/>
        </w:rPr>
      </w:pPr>
      <w:bookmarkStart w:id="20" w:name="docs-internal-guid-a6a6b345-7fff-258f-41"/>
      <w:bookmarkEnd w:id="20"/>
      <w:r>
        <w:rPr>
          <w:rFonts w:cs="Times New Roman" w:ascii="arial;helvetica;sans-serif" w:hAnsi="arial;helvetica;sans-serif"/>
          <w:b w:val="false"/>
          <w:i w:val="false"/>
          <w:caps w:val="false"/>
          <w:smallCaps w:val="false"/>
          <w:color w:val="000000"/>
          <w:spacing w:val="0"/>
          <w:sz w:val="21"/>
          <w:szCs w:val="28"/>
          <w:shd w:fill="auto" w:val="clear"/>
        </w:rPr>
        <w:t xml:space="preserve">Nguồn: </w:t>
      </w:r>
      <w:r>
        <w:fldChar w:fldCharType="begin"/>
      </w:r>
      <w:r>
        <w:rPr>
          <w:rStyle w:val="Hyperlink"/>
          <w:rFonts w:cs="Times New Roman" w:ascii="arial;helvetica;sans-serif" w:hAnsi="arial;helvetica;sans-serif"/>
          <w:b w:val="false"/>
          <w:i w:val="false"/>
          <w:caps w:val="false"/>
          <w:smallCaps w:val="false"/>
          <w:strike w:val="false"/>
          <w:dstrike w:val="false"/>
          <w:color w:val="000000"/>
          <w:spacing w:val="0"/>
          <w:sz w:val="21"/>
          <w:szCs w:val="28"/>
          <w:u w:val="none"/>
          <w:effect w:val="none"/>
          <w:shd w:fill="auto" w:val="clear"/>
        </w:rPr>
        <w:instrText xml:space="preserve"> HYPERLINK "https://www.chu-montpellier.fr/fr/crpv/sinformer/bip-2026-n3" \l "c44379"</w:instrText>
      </w:r>
      <w:r>
        <w:rPr>
          <w:rStyle w:val="Hyperlink"/>
          <w:rFonts w:cs="Times New Roman" w:ascii="arial;helvetica;sans-serif" w:hAnsi="arial;helvetica;sans-serif"/>
          <w:b w:val="false"/>
          <w:i w:val="false"/>
          <w:caps w:val="false"/>
          <w:smallCaps w:val="false"/>
          <w:strike w:val="false"/>
          <w:dstrike w:val="false"/>
          <w:color w:val="000000"/>
          <w:spacing w:val="0"/>
          <w:sz w:val="21"/>
          <w:szCs w:val="28"/>
          <w:u w:val="none"/>
          <w:effect w:val="none"/>
          <w:shd w:fill="auto" w:val="clear"/>
        </w:rPr>
        <w:fldChar w:fldCharType="separate"/>
      </w:r>
      <w:r>
        <w:rPr>
          <w:rStyle w:val="Hyperlink"/>
          <w:rFonts w:cs="Times New Roman" w:ascii="arial;helvetica;sans-serif" w:hAnsi="arial;helvetica;sans-serif"/>
          <w:b w:val="false"/>
          <w:i w:val="false"/>
          <w:caps w:val="false"/>
          <w:smallCaps w:val="false"/>
          <w:strike w:val="false"/>
          <w:dstrike w:val="false"/>
          <w:color w:val="000000"/>
          <w:spacing w:val="0"/>
          <w:sz w:val="21"/>
          <w:szCs w:val="28"/>
          <w:u w:val="none"/>
          <w:effect w:val="none"/>
          <w:shd w:fill="auto" w:val="clear"/>
        </w:rPr>
        <w:t>https://www.chu-montpellier.fr/fr/crpv/sinformer/bip-2026-n3#c44379</w:t>
      </w:r>
      <w:r>
        <w:rPr>
          <w:rStyle w:val="Hyperlink"/>
          <w:rFonts w:cs="Times New Roman" w:ascii="arial;helvetica;sans-serif" w:hAnsi="arial;helvetica;sans-serif"/>
          <w:b w:val="false"/>
          <w:i w:val="false"/>
          <w:caps w:val="false"/>
          <w:smallCaps w:val="false"/>
          <w:strike w:val="false"/>
          <w:dstrike w:val="false"/>
          <w:color w:val="000000"/>
          <w:spacing w:val="0"/>
          <w:sz w:val="21"/>
          <w:szCs w:val="28"/>
          <w:u w:val="none"/>
          <w:effect w:val="none"/>
          <w:shd w:fill="auto" w:val="clear"/>
        </w:rPr>
        <w:fldChar w:fldCharType="end"/>
      </w:r>
    </w:p>
    <w:p>
      <w:pPr>
        <w:sectPr>
          <w:type w:val="continuous"/>
          <w:pgSz w:w="12240" w:h="15840"/>
          <w:pgMar w:left="1134" w:right="1134" w:gutter="0" w:header="0" w:top="1134" w:footer="720" w:bottom="1134"/>
          <w:formProt w:val="false"/>
          <w:textDirection w:val="lrTb"/>
          <w:docGrid w:type="default" w:linePitch="360" w:charSpace="0"/>
        </w:sectPr>
      </w:pPr>
    </w:p>
    <w:p>
      <w:pPr>
        <w:pStyle w:val="Normal"/>
        <w:spacing w:lineRule="auto" w:line="240" w:before="0" w:after="0"/>
        <w:rPr>
          <w:rFonts w:ascii="Times New Roman" w:hAnsi="Times New Roman"/>
          <w:sz w:val="28"/>
          <w:szCs w:val="28"/>
        </w:rPr>
      </w:pPr>
      <w:r>
        <w:rPr>
          <w:rFonts w:cs="Times New Roman" w:ascii="Times New Roman" w:hAnsi="Times New Roman"/>
          <w:color w:val="414141"/>
          <w:sz w:val="28"/>
          <w:szCs w:val="28"/>
        </w:rPr>
      </w:r>
    </w:p>
    <w:p>
      <w:pPr>
        <w:pStyle w:val="Normal"/>
        <w:spacing w:lineRule="auto" w:line="240" w:before="0" w:after="0"/>
        <w:rPr>
          <w:rFonts w:ascii="Times New Roman" w:hAnsi="Times New Roman"/>
          <w:sz w:val="28"/>
          <w:szCs w:val="28"/>
        </w:rPr>
      </w:pPr>
      <w:r>
        <w:rPr>
          <w:rFonts w:cs="Times New Roman" w:ascii="Times New Roman" w:hAnsi="Times New Roman"/>
          <w:color w:val="414141"/>
          <w:sz w:val="28"/>
          <w:szCs w:val="28"/>
        </w:rPr>
        <w:tab/>
        <w:t xml:space="preserve">                                                                     </w:t>
      </w:r>
      <w:r>
        <w:rPr>
          <w:rFonts w:cs="Times New Roman" w:ascii="Times New Roman" w:hAnsi="Times New Roman"/>
          <w:b/>
          <w:i w:val="false"/>
          <w:caps w:val="false"/>
          <w:smallCaps w:val="false"/>
          <w:strike w:val="false"/>
          <w:dstrike w:val="false"/>
          <w:color w:val="414141"/>
          <w:spacing w:val="0"/>
          <w:sz w:val="28"/>
          <w:szCs w:val="28"/>
          <w:u w:val="none"/>
          <w:effect w:val="none"/>
          <w:shd w:fill="auto" w:val="clear"/>
          <w:lang w:val="vi-VN"/>
        </w:rPr>
        <w:t>ĐƠN VỊ THÔNG TIN THUỐ</w:t>
      </w:r>
      <w:bookmarkStart w:id="21" w:name="_GoBack"/>
      <w:bookmarkEnd w:id="21"/>
      <w:r>
        <w:rPr>
          <w:rFonts w:cs="Times New Roman" w:ascii="Times New Roman" w:hAnsi="Times New Roman"/>
          <w:b/>
          <w:i w:val="false"/>
          <w:caps w:val="false"/>
          <w:smallCaps w:val="false"/>
          <w:strike w:val="false"/>
          <w:dstrike w:val="false"/>
          <w:color w:val="414141"/>
          <w:spacing w:val="0"/>
          <w:sz w:val="28"/>
          <w:szCs w:val="28"/>
          <w:u w:val="none"/>
          <w:effect w:val="none"/>
          <w:shd w:fill="auto" w:val="clear"/>
          <w:lang w:val="vi-VN"/>
        </w:rPr>
        <w:t>C</w:t>
      </w:r>
    </w:p>
    <w:p>
      <w:pPr>
        <w:pStyle w:val="Normal"/>
        <w:spacing w:lineRule="auto" w:line="240" w:before="0" w:after="0"/>
        <w:rPr>
          <w:rFonts w:ascii="Times New Roman" w:hAnsi="Times New Roman"/>
          <w:sz w:val="28"/>
          <w:szCs w:val="28"/>
        </w:rPr>
      </w:pPr>
      <w:r>
        <w:rPr>
          <w:rFonts w:cs="Times New Roman" w:ascii="Times New Roman" w:hAnsi="Times New Roman"/>
          <w:color w:val="414141"/>
          <w:sz w:val="28"/>
          <w:szCs w:val="28"/>
        </w:rPr>
      </w:r>
    </w:p>
    <w:p>
      <w:pPr>
        <w:pStyle w:val="Normal"/>
        <w:spacing w:lineRule="auto" w:line="240" w:before="0" w:after="0"/>
        <w:rPr>
          <w:rFonts w:ascii="Times New Roman" w:hAnsi="Times New Roman"/>
          <w:sz w:val="28"/>
          <w:szCs w:val="28"/>
        </w:rPr>
      </w:pPr>
      <w:r>
        <w:rPr>
          <w:rFonts w:cs="Times New Roman" w:ascii="Times New Roman" w:hAnsi="Times New Roman"/>
          <w:color w:val="414141"/>
          <w:sz w:val="28"/>
          <w:szCs w:val="28"/>
        </w:rPr>
      </w:r>
    </w:p>
    <w:p>
      <w:pPr>
        <w:pStyle w:val="Normal"/>
        <w:spacing w:lineRule="auto" w:line="240" w:before="0" w:after="0"/>
        <w:rPr>
          <w:rFonts w:ascii="Times New Roman" w:hAnsi="Times New Roman"/>
          <w:sz w:val="28"/>
          <w:szCs w:val="28"/>
        </w:rPr>
      </w:pPr>
      <w:r>
        <w:rPr>
          <w:rFonts w:cs="Times New Roman" w:ascii="Times New Roman" w:hAnsi="Times New Roman"/>
          <w:color w:val="414141"/>
          <w:sz w:val="28"/>
          <w:szCs w:val="28"/>
        </w:rPr>
      </w:r>
    </w:p>
    <w:p>
      <w:pPr>
        <w:pStyle w:val="Normal"/>
        <w:spacing w:lineRule="auto" w:line="240" w:before="0" w:after="0"/>
        <w:rPr>
          <w:rFonts w:ascii="Times New Roman" w:hAnsi="Times New Roman"/>
          <w:sz w:val="28"/>
          <w:szCs w:val="28"/>
        </w:rPr>
      </w:pPr>
      <w:r>
        <w:rPr>
          <w:rFonts w:cs="Times New Roman" w:ascii="Times New Roman" w:hAnsi="Times New Roman"/>
          <w:color w:val="414141"/>
          <w:sz w:val="28"/>
          <w:szCs w:val="28"/>
        </w:rPr>
      </w:r>
    </w:p>
    <w:p>
      <w:pPr>
        <w:pStyle w:val="Normal"/>
        <w:spacing w:lineRule="auto" w:line="240" w:before="0" w:after="0"/>
        <w:rPr>
          <w:rFonts w:ascii="Times New Roman" w:hAnsi="Times New Roman"/>
          <w:sz w:val="28"/>
          <w:szCs w:val="28"/>
        </w:rPr>
      </w:pPr>
      <w:r>
        <w:rPr>
          <w:rFonts w:cs="Times New Roman" w:ascii="Times New Roman" w:hAnsi="Times New Roman"/>
          <w:color w:val="414141"/>
          <w:sz w:val="28"/>
          <w:szCs w:val="28"/>
        </w:rPr>
      </w:r>
    </w:p>
    <w:p>
      <w:pPr>
        <w:pStyle w:val="Normal"/>
        <w:spacing w:lineRule="auto" w:line="240" w:before="0" w:after="0"/>
        <w:rPr>
          <w:rFonts w:ascii="Times New Roman" w:hAnsi="Times New Roman"/>
          <w:sz w:val="28"/>
          <w:szCs w:val="28"/>
        </w:rPr>
      </w:pPr>
      <w:r>
        <w:rPr>
          <w:rFonts w:cs="Times New Roman" w:ascii="Times New Roman" w:hAnsi="Times New Roman"/>
          <w:color w:val="414141"/>
          <w:sz w:val="28"/>
          <w:szCs w:val="28"/>
        </w:rPr>
      </w:r>
    </w:p>
    <w:p>
      <w:pPr>
        <w:pStyle w:val="Normal"/>
        <w:spacing w:lineRule="auto" w:line="240" w:before="0" w:after="0"/>
        <w:rPr>
          <w:rFonts w:ascii="Times New Roman" w:hAnsi="Times New Roman"/>
          <w:sz w:val="28"/>
          <w:szCs w:val="28"/>
        </w:rPr>
      </w:pPr>
      <w:r>
        <w:rPr>
          <w:rFonts w:cs="Times New Roman" w:ascii="Times New Roman" w:hAnsi="Times New Roman"/>
          <w:color w:val="414141"/>
          <w:sz w:val="28"/>
          <w:szCs w:val="28"/>
        </w:rPr>
        <w:tab/>
        <w:tab/>
        <w:tab/>
        <w:tab/>
        <w:tab/>
        <w:tab/>
        <w:tab/>
        <w:tab/>
      </w:r>
    </w:p>
    <w:sectPr>
      <w:type w:val="continuous"/>
      <w:pgSz w:w="12240" w:h="15840"/>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swiss"/>
    <w:pitch w:val="variable"/>
  </w:font>
  <w:font w:name="OpenSymbol">
    <w:altName w:val="Arial Unicode MS"/>
    <w:charset w:val="02"/>
    <w:family w:val="roman"/>
    <w:pitch w:val="variable"/>
  </w:font>
  <w:font w:name="Liberation Sans">
    <w:altName w:val="Arial"/>
    <w:charset w:val="00"/>
    <w:family w:val="swiss"/>
    <w:pitch w:val="variable"/>
  </w:font>
  <w:font w:name="Times New Roman">
    <w:charset w:val="01"/>
    <w:family w:val="roman"/>
    <w:pitch w:val="variable"/>
  </w:font>
  <w:font w:name="arial">
    <w:altName w:val="helvetica"/>
    <w:charset w:val="00"/>
    <w:family w:val="auto"/>
    <w:pitch w:val="default"/>
  </w:font>
  <w:font w:name="Calibri">
    <w:altName w:val="Arial"/>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14862223"/>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6</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14862223"/>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6</w:t>
        </w:r>
        <w:r>
          <w:rPr/>
          <w:fldChar w:fldCharType="end"/>
        </w:r>
      </w:p>
    </w:sdtContent>
  </w:sdt>
  <w:p>
    <w:pPr>
      <w:pStyle w:val="Footer"/>
      <w:rPr/>
    </w:pPr>
    <w:r>
      <w:rPr/>
    </w:r>
  </w:p>
</w:ftr>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43d4f"/>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d66f52"/>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725083"/>
    <w:pPr>
      <w:keepNext w:val="true"/>
      <w:keepLines/>
      <w:spacing w:before="200" w:after="0"/>
      <w:outlineLvl w:val="1"/>
    </w:pPr>
    <w:rPr>
      <w:rFonts w:ascii="Cambria" w:hAnsi="Cambria"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semiHidden/>
    <w:unhideWhenUsed/>
    <w:qFormat/>
    <w:rsid w:val="0076029d"/>
    <w:pPr>
      <w:keepNext w:val="true"/>
      <w:keepLines/>
      <w:spacing w:before="200" w:after="0"/>
      <w:outlineLvl w:val="2"/>
    </w:pPr>
    <w:rPr>
      <w:rFonts w:ascii="Cambria" w:hAnsi="Cambria"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76029d"/>
    <w:pPr>
      <w:keepNext w:val="true"/>
      <w:keepLines/>
      <w:spacing w:before="200" w:after="0"/>
      <w:outlineLvl w:val="3"/>
    </w:pPr>
    <w:rPr>
      <w:rFonts w:ascii="Cambria" w:hAnsi="Cambria"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qFormat/>
    <w:rsid w:val="008b3222"/>
    <w:pPr>
      <w:keepNext w:val="true"/>
      <w:spacing w:lineRule="auto" w:line="240" w:before="0" w:after="0"/>
      <w:ind w:right="22"/>
      <w:outlineLvl w:val="4"/>
    </w:pPr>
    <w:rPr>
      <w:rFonts w:ascii="Times New Roman" w:hAnsi="Times New Roman" w:eastAsia="Times New Roman" w:cs="Times New Roman"/>
      <w:sz w:val="28"/>
      <w:szCs w:val="20"/>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4e12ff"/>
    <w:rPr>
      <w:color w:val="0000FF"/>
      <w:u w:val="single"/>
    </w:rPr>
  </w:style>
  <w:style w:type="character" w:styleId="Strong">
    <w:name w:val="Strong"/>
    <w:basedOn w:val="DefaultParagraphFont"/>
    <w:uiPriority w:val="22"/>
    <w:qFormat/>
    <w:rsid w:val="00a033e8"/>
    <w:rPr>
      <w:b/>
      <w:bCs/>
    </w:rPr>
  </w:style>
  <w:style w:type="character" w:styleId="Emphasis">
    <w:name w:val="Emphasis"/>
    <w:basedOn w:val="DefaultParagraphFont"/>
    <w:uiPriority w:val="20"/>
    <w:qFormat/>
    <w:rsid w:val="00a033e8"/>
    <w:rPr>
      <w:i/>
      <w:iCs/>
    </w:rPr>
  </w:style>
  <w:style w:type="character" w:styleId="Heading5Char" w:customStyle="1">
    <w:name w:val="Heading 5 Char"/>
    <w:basedOn w:val="DefaultParagraphFont"/>
    <w:link w:val="Heading5"/>
    <w:qFormat/>
    <w:rsid w:val="008b3222"/>
    <w:rPr>
      <w:rFonts w:ascii="Times New Roman" w:hAnsi="Times New Roman" w:eastAsia="Times New Roman" w:cs="Times New Roman"/>
      <w:sz w:val="28"/>
      <w:szCs w:val="20"/>
    </w:rPr>
  </w:style>
  <w:style w:type="character" w:styleId="Heading2Char" w:customStyle="1">
    <w:name w:val="Heading 2 Char"/>
    <w:basedOn w:val="DefaultParagraphFont"/>
    <w:link w:val="Heading2"/>
    <w:uiPriority w:val="9"/>
    <w:qFormat/>
    <w:rsid w:val="00725083"/>
    <w:rPr>
      <w:rFonts w:ascii="Cambria" w:hAnsi="Cambria" w:eastAsia="" w:cs="" w:asciiTheme="majorHAnsi" w:cstheme="majorBidi" w:eastAsiaTheme="majorEastAsia" w:hAnsiTheme="majorHAnsi"/>
      <w:b/>
      <w:bCs/>
      <w:color w:themeColor="accent1" w:val="4F81BD"/>
      <w:sz w:val="26"/>
      <w:szCs w:val="26"/>
    </w:rPr>
  </w:style>
  <w:style w:type="character" w:styleId="BalloonTextChar" w:customStyle="1">
    <w:name w:val="Balloon Text Char"/>
    <w:basedOn w:val="DefaultParagraphFont"/>
    <w:link w:val="BalloonText"/>
    <w:uiPriority w:val="99"/>
    <w:semiHidden/>
    <w:qFormat/>
    <w:rsid w:val="00725083"/>
    <w:rPr>
      <w:rFonts w:ascii="Tahoma" w:hAnsi="Tahoma" w:cs="Tahoma"/>
      <w:sz w:val="16"/>
      <w:szCs w:val="16"/>
    </w:rPr>
  </w:style>
  <w:style w:type="character" w:styleId="HeaderChar" w:customStyle="1">
    <w:name w:val="Header Char"/>
    <w:basedOn w:val="DefaultParagraphFont"/>
    <w:link w:val="Header"/>
    <w:uiPriority w:val="99"/>
    <w:qFormat/>
    <w:rsid w:val="006645ab"/>
    <w:rPr/>
  </w:style>
  <w:style w:type="character" w:styleId="FooterChar" w:customStyle="1">
    <w:name w:val="Footer Char"/>
    <w:basedOn w:val="DefaultParagraphFont"/>
    <w:link w:val="Footer"/>
    <w:uiPriority w:val="99"/>
    <w:qFormat/>
    <w:rsid w:val="006645ab"/>
    <w:rPr/>
  </w:style>
  <w:style w:type="character" w:styleId="Heading1Char" w:customStyle="1">
    <w:name w:val="Heading 1 Char"/>
    <w:basedOn w:val="DefaultParagraphFont"/>
    <w:link w:val="Heading1"/>
    <w:uiPriority w:val="9"/>
    <w:qFormat/>
    <w:rsid w:val="00d66f52"/>
    <w:rPr>
      <w:rFonts w:ascii="Cambria" w:hAnsi="Cambria" w:eastAsia="" w:cs="" w:asciiTheme="majorHAnsi" w:cstheme="majorBidi" w:eastAsiaTheme="majorEastAsia" w:hAnsiTheme="majorHAnsi"/>
      <w:b/>
      <w:bCs/>
      <w:color w:themeColor="accent1" w:themeShade="bf" w:val="365F91"/>
      <w:sz w:val="28"/>
      <w:szCs w:val="28"/>
    </w:rPr>
  </w:style>
  <w:style w:type="character" w:styleId="theauthor" w:customStyle="1">
    <w:name w:val="theauthor"/>
    <w:basedOn w:val="DefaultParagraphFont"/>
    <w:qFormat/>
    <w:rsid w:val="00d66f52"/>
    <w:rPr/>
  </w:style>
  <w:style w:type="character" w:styleId="featured-cat" w:customStyle="1">
    <w:name w:val="featured-cat"/>
    <w:basedOn w:val="DefaultParagraphFont"/>
    <w:qFormat/>
    <w:rsid w:val="00d66f52"/>
    <w:rPr/>
  </w:style>
  <w:style w:type="character" w:styleId="thecomment" w:customStyle="1">
    <w:name w:val="thecomment"/>
    <w:basedOn w:val="DefaultParagraphFont"/>
    <w:qFormat/>
    <w:rsid w:val="00d66f52"/>
    <w:rPr/>
  </w:style>
  <w:style w:type="character" w:styleId="Heading3Char" w:customStyle="1">
    <w:name w:val="Heading 3 Char"/>
    <w:basedOn w:val="DefaultParagraphFont"/>
    <w:link w:val="Heading3"/>
    <w:uiPriority w:val="9"/>
    <w:semiHidden/>
    <w:qFormat/>
    <w:rsid w:val="0076029d"/>
    <w:rPr>
      <w:rFonts w:ascii="Cambria" w:hAnsi="Cambria" w:eastAsia="" w:cs="" w:asciiTheme="majorHAnsi" w:cstheme="majorBidi" w:eastAsiaTheme="majorEastAsia" w:hAnsiTheme="majorHAnsi"/>
      <w:b/>
      <w:bCs/>
      <w:color w:themeColor="accent1" w:val="4F81BD"/>
    </w:rPr>
  </w:style>
  <w:style w:type="character" w:styleId="Heading4Char" w:customStyle="1">
    <w:name w:val="Heading 4 Char"/>
    <w:basedOn w:val="DefaultParagraphFont"/>
    <w:link w:val="Heading4"/>
    <w:uiPriority w:val="9"/>
    <w:semiHidden/>
    <w:qFormat/>
    <w:rsid w:val="0076029d"/>
    <w:rPr>
      <w:rFonts w:ascii="Cambria" w:hAnsi="Cambria" w:eastAsia="" w:cs="" w:asciiTheme="majorHAnsi" w:cstheme="majorBidi" w:eastAsiaTheme="majorEastAsia" w:hAnsiTheme="majorHAnsi"/>
      <w:b/>
      <w:bCs/>
      <w:i/>
      <w:iCs/>
      <w:color w:themeColor="accent1" w:val="4F81BD"/>
    </w:rPr>
  </w:style>
  <w:style w:type="character" w:styleId="Bulletsuser">
    <w:name w:val="Bullets (user)"/>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uiPriority w:val="99"/>
    <w:unhideWhenUsed/>
    <w:qFormat/>
    <w:rsid w:val="004e12ff"/>
    <w:pPr>
      <w:spacing w:lineRule="auto" w:line="240" w:beforeAutospacing="1" w:afterAutospacing="1"/>
    </w:pPr>
    <w:rPr>
      <w:rFonts w:ascii="Times New Roman" w:hAnsi="Times New Roman" w:eastAsia="Times New Roman" w:cs="Times New Roman"/>
      <w:sz w:val="24"/>
      <w:szCs w:val="24"/>
    </w:rPr>
  </w:style>
  <w:style w:type="paragraph" w:styleId="BalloonText">
    <w:name w:val="Balloon Text"/>
    <w:basedOn w:val="Normal"/>
    <w:link w:val="BalloonTextChar"/>
    <w:uiPriority w:val="99"/>
    <w:semiHidden/>
    <w:unhideWhenUsed/>
    <w:qFormat/>
    <w:rsid w:val="00725083"/>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
    <w:uiPriority w:val="99"/>
    <w:unhideWhenUsed/>
    <w:rsid w:val="006645ab"/>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6645ab"/>
    <w:pPr>
      <w:tabs>
        <w:tab w:val="clear" w:pos="720"/>
        <w:tab w:val="center" w:pos="4680" w:leader="none"/>
        <w:tab w:val="right" w:pos="9360" w:leader="none"/>
      </w:tabs>
      <w:spacing w:lineRule="auto" w:line="240" w:before="0" w:after="0"/>
    </w:pPr>
    <w:rPr/>
  </w:style>
  <w:style w:type="paragraph" w:styleId="ListParagraph">
    <w:name w:val="List Paragraph"/>
    <w:basedOn w:val="Normal"/>
    <w:uiPriority w:val="34"/>
    <w:qFormat/>
    <w:rsid w:val="00891971"/>
    <w:pPr>
      <w:spacing w:before="0" w:after="200"/>
      <w:ind w:left="72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hu-montpellier.fr/fr/crpv/sinformer/bip-2026"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hyperlink" Target="https://www.rfcrpv.fr/wp-content/uploads/2022/06/VigipharmAmiens-aout-septembre-2026.pdf" TargetMode="External"/><Relationship Id="rId7" Type="http://schemas.openxmlformats.org/officeDocument/2006/relationships/hyperlink" Target="https://isomer-user-content.by.gov.sg/409/3238de0f-2f18-46e5-9810-4fe4a2888290/ADR%20News%20Sep%202026%20Vol%2028%20No2.pdf" TargetMode="Externa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1962</TotalTime>
  <Application>LibreOffice/26.2.6.3$Windows_X86_64 LibreOffice_project/8221e31b3ac356a1623c672912a3d2b492f7e3d1</Application>
  <AppVersion>15.0000</AppVersion>
  <Pages>6</Pages>
  <Words>2481</Words>
  <Characters>9488</Characters>
  <CharactersWithSpaces>12094</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2024-09-25T08:15:00Z</dcterms:created>
  <dc:creator>DUOC_CHITHO</dc:creator>
  <dc:description/>
  <dc:language>en-US</dc:language>
  <cp:lastModifiedBy/>
  <cp:lastPrinted>2026-10-29T10:09:05Z</cp:lastPrinted>
  <dcterms:modified xsi:type="dcterms:W3CDTF">2026-10-29T10:05:15Z</dcterms:modified>
  <cp:revision>599</cp:revision>
  <dc:subject/>
  <dc:title/>
</cp:coreProperties>
</file>

<file path=docProps/custom.xml><?xml version="1.0" encoding="utf-8"?>
<Properties xmlns="http://schemas.openxmlformats.org/officeDocument/2006/custom-properties" xmlns:vt="http://schemas.openxmlformats.org/officeDocument/2006/docPropsVTypes"/>
</file>