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56" w:type="dxa"/>
        <w:jc w:val="left"/>
        <w:tblInd w:w="108" w:type="dxa"/>
        <w:tblLayout w:type="fixed"/>
        <w:tblCellMar>
          <w:top w:w="0" w:type="dxa"/>
          <w:left w:w="108" w:type="dxa"/>
          <w:bottom w:w="0" w:type="dxa"/>
          <w:right w:w="108" w:type="dxa"/>
        </w:tblCellMar>
        <w:tblLook w:val="04a0"/>
      </w:tblPr>
      <w:tblGrid>
        <w:gridCol w:w="4503"/>
        <w:gridCol w:w="5953"/>
      </w:tblGrid>
      <w:tr>
        <w:trPr>
          <w:trHeight w:val="841" w:hRule="atLeast"/>
        </w:trPr>
        <w:tc>
          <w:tcPr>
            <w:tcW w:w="4503" w:type="dxa"/>
            <w:tcBorders/>
            <w:shd w:color="auto" w:fill="auto" w:val="clear"/>
          </w:tcPr>
          <w:p>
            <w:pPr>
              <w:pStyle w:val="Heading5"/>
              <w:tabs>
                <w:tab w:val="clear" w:pos="720"/>
                <w:tab w:val="center" w:pos="1680" w:leader="none"/>
                <w:tab w:val="center" w:pos="6240" w:leader="none"/>
              </w:tabs>
              <w:jc w:val="both"/>
              <w:rPr>
                <w:szCs w:val="28"/>
              </w:rPr>
            </w:pPr>
            <w:r>
              <w:rPr>
                <w:szCs w:val="28"/>
              </w:rPr>
              <w:t>HỘI ĐỒNG THUỐC VÀ ĐIỀU TRỊ</w:t>
            </w:r>
          </w:p>
          <w:p>
            <w:pPr>
              <w:pStyle w:val="Normal"/>
              <w:spacing w:lineRule="auto" w:line="240" w:before="0" w:after="0"/>
              <w:jc w:val="both"/>
              <w:rPr>
                <w:rFonts w:ascii="Times New Roman" w:hAnsi="Times New Roman" w:cs="Times New Roman"/>
                <w:b/>
                <w:sz w:val="28"/>
                <w:szCs w:val="28"/>
              </w:rPr>
            </w:pPr>
            <w:r>
              <mc:AlternateContent>
                <mc:Choice Requires="wps">
                  <w:drawing>
                    <wp:anchor distT="1270" distB="635" distL="635" distR="1270" simplePos="0" relativeHeight="2" behindDoc="0" locked="0" layoutInCell="1" allowOverlap="1">
                      <wp:simplePos x="0" y="0"/>
                      <wp:positionH relativeFrom="column">
                        <wp:posOffset>748665</wp:posOffset>
                      </wp:positionH>
                      <wp:positionV relativeFrom="paragraph">
                        <wp:posOffset>361315</wp:posOffset>
                      </wp:positionV>
                      <wp:extent cx="781050" cy="635"/>
                      <wp:effectExtent l="635" t="1270" r="1270" b="635"/>
                      <wp:wrapNone/>
                      <wp:docPr id="1" name="Straight Arrow Connector 2"/>
                      <a:graphic xmlns:a="http://schemas.openxmlformats.org/drawingml/2006/main">
                        <a:graphicData uri="http://schemas.microsoft.com/office/word/2010/wordprocessingShape">
                          <wps:wsp>
                            <wps:cNvSpPr/>
                            <wps:spPr>
                              <a:xfrm>
                                <a:off x="0" y="0"/>
                                <a:ext cx="781200" cy="720"/>
                              </a:xfrm>
                              <a:prstGeom prst="straightConnector1">
                                <a:avLst/>
                              </a:prstGeom>
                              <a:noFill/>
                              <a:ln w="0">
                                <a:solidFill>
                                  <a:srgbClr val="000000"/>
                                </a:solidFill>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58.95pt;margin-top:28.45pt;width:61.45pt;height:0pt;mso-wrap-style:none;v-text-anchor:middle" type="_x0000_t32" path="m0,0l-2147483648,-2147483647e">
                      <v:fill o:detectmouseclick="t" on="false"/>
                      <v:stroke color="black" joinstyle="round" endcap="flat"/>
                      <w10:wrap type="none"/>
                    </v:shape>
                  </w:pict>
                </mc:Fallback>
              </mc:AlternateContent>
            </w:r>
            <w:r>
              <w:rPr>
                <w:rFonts w:cs="Times New Roman" w:ascii="Times New Roman" w:hAnsi="Times New Roman"/>
                <w:b/>
                <w:spacing w:val="-10"/>
                <w:sz w:val="28"/>
                <w:szCs w:val="28"/>
                <w:lang w:val="vi-VN"/>
              </w:rPr>
              <w:t xml:space="preserve">ĐƠN VỊ </w:t>
            </w:r>
            <w:r>
              <w:rPr>
                <w:rFonts w:cs="Times New Roman" w:ascii="Times New Roman" w:hAnsi="Times New Roman"/>
                <w:b/>
                <w:spacing w:val="-10"/>
                <w:sz w:val="28"/>
                <w:szCs w:val="28"/>
              </w:rPr>
              <w:t>THÔNG TIN THUỐC</w:t>
            </w:r>
          </w:p>
        </w:tc>
        <w:tc>
          <w:tcPr>
            <w:tcW w:w="5953" w:type="dxa"/>
            <w:tcBorders/>
            <w:shd w:color="auto" w:fill="auto" w:val="clear"/>
          </w:tcPr>
          <w:p>
            <w:pPr>
              <w:pStyle w:val="Heading5"/>
              <w:tabs>
                <w:tab w:val="clear" w:pos="720"/>
                <w:tab w:val="center" w:pos="1680" w:leader="none"/>
                <w:tab w:val="center" w:pos="6240" w:leader="none"/>
              </w:tabs>
              <w:jc w:val="both"/>
              <w:rPr>
                <w:b/>
                <w:spacing w:val="-10"/>
                <w:szCs w:val="28"/>
              </w:rPr>
            </w:pPr>
            <w:r>
              <w:rPr>
                <w:b/>
                <w:spacing w:val="-10"/>
                <w:szCs w:val="28"/>
              </w:rPr>
              <w:t>CỘNG HÒA XÃ HỘI CHỦ NGHĨA VIỆT NAM</w:t>
            </w:r>
          </w:p>
          <w:p>
            <w:pPr>
              <w:pStyle w:val="Heading5"/>
              <w:tabs>
                <w:tab w:val="clear" w:pos="720"/>
                <w:tab w:val="center" w:pos="1680" w:leader="none"/>
                <w:tab w:val="center" w:pos="6240" w:leader="none"/>
              </w:tabs>
              <w:jc w:val="both"/>
              <w:rPr>
                <w:b/>
                <w:spacing w:val="-10"/>
                <w:szCs w:val="28"/>
              </w:rPr>
            </w:pPr>
            <w:r>
              <w:rPr>
                <w:b/>
                <w:spacing w:val="-10"/>
                <w:szCs w:val="28"/>
              </w:rPr>
              <w:t xml:space="preserve">                 </w:t>
            </w:r>
            <w:r>
              <w:rPr>
                <w:b/>
                <w:spacing w:val="-10"/>
                <w:szCs w:val="28"/>
              </w:rPr>
              <w:t>Độc lập - Tự do - Hạnh phúc</w:t>
            </w:r>
          </w:p>
          <w:p>
            <w:pPr>
              <w:pStyle w:val="Normal"/>
              <w:widowControl/>
              <w:bidi w:val="0"/>
              <w:spacing w:lineRule="auto" w:line="276" w:before="0" w:after="200"/>
              <w:jc w:val="left"/>
              <w:rPr/>
            </w:pPr>
            <w:r>
              <w:rPr/>
              <mc:AlternateContent>
                <mc:Choice Requires="wps">
                  <w:drawing>
                    <wp:anchor distT="1270" distB="635" distL="1270" distR="635" simplePos="0" relativeHeight="3" behindDoc="0" locked="0" layoutInCell="1" allowOverlap="1">
                      <wp:simplePos x="0" y="0"/>
                      <wp:positionH relativeFrom="column">
                        <wp:posOffset>701675</wp:posOffset>
                      </wp:positionH>
                      <wp:positionV relativeFrom="paragraph">
                        <wp:posOffset>156845</wp:posOffset>
                      </wp:positionV>
                      <wp:extent cx="2009775" cy="635"/>
                      <wp:effectExtent l="1270" t="1270" r="635" b="635"/>
                      <wp:wrapNone/>
                      <wp:docPr id="2" name="Straight Arrow Connector 1"/>
                      <a:graphic xmlns:a="http://schemas.openxmlformats.org/drawingml/2006/main">
                        <a:graphicData uri="http://schemas.microsoft.com/office/word/2010/wordprocessingShape">
                          <wps:wsp>
                            <wps:cNvSpPr/>
                            <wps:spPr>
                              <a:xfrm>
                                <a:off x="0" y="0"/>
                                <a:ext cx="2009880" cy="720"/>
                              </a:xfrm>
                              <a:prstGeom prst="straightConnector1">
                                <a:avLst/>
                              </a:prstGeom>
                              <a:noFill/>
                              <a:ln w="0">
                                <a:solidFill>
                                  <a:srgbClr val="000000"/>
                                </a:solidFill>
                              </a:ln>
                            </wps:spPr>
                            <wps:style>
                              <a:lnRef idx="0"/>
                              <a:fillRef idx="0"/>
                              <a:effectRef idx="0"/>
                              <a:fontRef idx="minor"/>
                            </wps:style>
                            <wps:bodyPr/>
                          </wps:wsp>
                        </a:graphicData>
                      </a:graphic>
                    </wp:anchor>
                  </w:drawing>
                </mc:Choice>
                <mc:Fallback>
                  <w:pict>
                    <v:shape id="shape_0" stroked="t" o:allowincell="t" style="position:absolute;margin-left:55.25pt;margin-top:12.35pt;width:158.2pt;height:0pt;mso-wrap-style:none;v-text-anchor:middle" type="_x0000_t32" path="m0,0l-2147483648,-2147483647e">
                      <v:fill o:detectmouseclick="t" on="false"/>
                      <v:stroke color="black" joinstyle="round" endcap="flat"/>
                      <w10:wrap type="none"/>
                    </v:shape>
                  </w:pict>
                </mc:Fallback>
              </mc:AlternateContent>
            </w:r>
          </w:p>
        </w:tc>
      </w:tr>
      <w:tr>
        <w:trPr/>
        <w:tc>
          <w:tcPr>
            <w:tcW w:w="4503" w:type="dxa"/>
            <w:tcBorders/>
            <w:shd w:color="auto" w:fill="auto" w:val="clear"/>
          </w:tcPr>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c>
        <w:tc>
          <w:tcPr>
            <w:tcW w:w="5953" w:type="dxa"/>
            <w:tcBorders/>
            <w:shd w:color="auto" w:fill="auto" w:val="clear"/>
          </w:tcPr>
          <w:p>
            <w:pPr>
              <w:pStyle w:val="Heading5"/>
              <w:tabs>
                <w:tab w:val="clear" w:pos="720"/>
                <w:tab w:val="center" w:pos="1680" w:leader="none"/>
                <w:tab w:val="center" w:pos="6240" w:leader="none"/>
              </w:tabs>
              <w:jc w:val="both"/>
              <w:rPr>
                <w:spacing w:val="-10"/>
                <w:szCs w:val="28"/>
              </w:rPr>
            </w:pPr>
            <w:r>
              <w:rPr>
                <w:spacing w:val="-10"/>
                <w:szCs w:val="28"/>
              </w:rPr>
            </w:r>
          </w:p>
        </w:tc>
      </w:tr>
    </w:tbl>
    <w:p>
      <w:pPr>
        <w:pStyle w:val="Normal"/>
        <w:spacing w:lineRule="auto" w:line="240" w:before="0" w:after="0"/>
        <w:jc w:val="both"/>
        <w:rPr>
          <w:rFonts w:ascii="Times New Roman" w:hAnsi="Times New Roman" w:cs="Times New Roman"/>
          <w:b/>
          <w:sz w:val="28"/>
          <w:szCs w:val="28"/>
        </w:rPr>
      </w:pPr>
      <w:r>
        <w:rPr>
          <w:rFonts w:cs="Times New Roman" w:ascii="Times New Roman" w:hAnsi="Times New Roman"/>
          <w:b/>
          <w:sz w:val="28"/>
          <w:szCs w:val="28"/>
        </w:rPr>
        <w:t xml:space="preserve">                          </w:t>
      </w:r>
      <w:r>
        <w:rPr>
          <w:rFonts w:cs="Times New Roman" w:ascii="Times New Roman" w:hAnsi="Times New Roman"/>
          <w:b/>
          <w:sz w:val="28"/>
          <w:szCs w:val="28"/>
          <w:lang w:val="vi-VN"/>
        </w:rPr>
        <w:t xml:space="preserve">BẢNG TIN </w:t>
      </w:r>
      <w:r>
        <w:rPr>
          <w:rFonts w:cs="Times New Roman" w:ascii="Times New Roman" w:hAnsi="Times New Roman"/>
          <w:b/>
          <w:sz w:val="28"/>
          <w:szCs w:val="28"/>
        </w:rPr>
        <w:t>THÔNG TIN THUỐC THÁNG 0</w:t>
      </w:r>
      <w:r>
        <w:rPr>
          <w:rFonts w:cs="Times New Roman" w:ascii="Times New Roman" w:hAnsi="Times New Roman"/>
          <w:b/>
          <w:sz w:val="28"/>
          <w:szCs w:val="28"/>
        </w:rPr>
        <w:t>9</w:t>
      </w:r>
      <w:r>
        <w:rPr>
          <w:rFonts w:cs="Times New Roman" w:ascii="Times New Roman" w:hAnsi="Times New Roman"/>
          <w:b/>
          <w:sz w:val="28"/>
          <w:szCs w:val="28"/>
        </w:rPr>
        <w:t>/2026</w:t>
      </w:r>
    </w:p>
    <w:p>
      <w:pPr>
        <w:pStyle w:val="Normal"/>
        <w:spacing w:lineRule="auto" w:line="240"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rPr>
          <w:rFonts w:ascii="Times New Roman" w:hAnsi="Times New Roman"/>
          <w:sz w:val="28"/>
          <w:szCs w:val="28"/>
        </w:rPr>
      </w:pPr>
      <w:r>
        <w:rPr>
          <w:rFonts w:cs="Times New Roman" w:ascii="Times New Roman" w:hAnsi="Times New Roman"/>
          <w:b/>
          <w:bCs/>
          <w:color w:val="FF0000"/>
          <w:sz w:val="28"/>
          <w:szCs w:val="28"/>
          <w:highlight w:val="yellow"/>
        </w:rPr>
        <w:t xml:space="preserve">I. </w:t>
      </w:r>
      <w:r>
        <w:rPr>
          <w:rFonts w:ascii="Times New Roman" w:hAnsi="Times New Roman"/>
          <w:color w:val="696969"/>
          <w:sz w:val="28"/>
          <w:szCs w:val="28"/>
        </w:rPr>
        <w:t xml:space="preserve"> </w:t>
      </w:r>
      <w:r>
        <w:rPr>
          <w:rFonts w:cs="Times New Roman" w:ascii="Times New Roman" w:hAnsi="Times New Roman"/>
          <w:color w:val="414141"/>
          <w:sz w:val="28"/>
          <w:szCs w:val="28"/>
        </w:rPr>
        <w:t xml:space="preserve"> </w:t>
      </w:r>
      <w:r>
        <w:rPr>
          <w:rFonts w:ascii="Times New Roman" w:hAnsi="Times New Roman"/>
          <w:b/>
          <w:bCs/>
          <w:i w:val="false"/>
          <w:caps w:val="false"/>
          <w:smallCaps w:val="false"/>
          <w:color w:val="FF0000"/>
          <w:spacing w:val="0"/>
          <w:sz w:val="28"/>
          <w:szCs w:val="28"/>
          <w:shd w:fill="FFFF00" w:val="clear"/>
        </w:rPr>
        <w:t>Lưu ý lại về chỉ định và liều dùng rosuvastatin</w:t>
      </w:r>
    </w:p>
    <w:p>
      <w:pPr>
        <w:sectPr>
          <w:footerReference w:type="even" r:id="rId2"/>
          <w:footerReference w:type="default" r:id="rId3"/>
          <w:footerReference w:type="first" r:id="rId4"/>
          <w:type w:val="nextPage"/>
          <w:pgSz w:w="12240" w:h="15840"/>
          <w:pgMar w:left="1134" w:right="1134" w:gutter="0" w:header="0" w:top="1134" w:footer="720" w:bottom="1134"/>
          <w:pgNumType w:fmt="decimal"/>
          <w:formProt w:val="false"/>
          <w:textDirection w:val="lrTb"/>
          <w:docGrid w:type="default" w:linePitch="360" w:charSpace="0"/>
        </w:sectPr>
      </w:pP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0" w:name="docs-internal-guid-b1d52c71-7fff-144d-81"/>
      <w:bookmarkEnd w:id="0"/>
      <w:r>
        <w:rPr>
          <w:rFonts w:cs="Times New Roman" w:ascii="Times New Roman" w:hAnsi="Times New Roman"/>
          <w:b w:val="false"/>
          <w:i w:val="false"/>
          <w:caps w:val="false"/>
          <w:smallCaps w:val="false"/>
          <w:color w:val="000000"/>
          <w:spacing w:val="0"/>
          <w:sz w:val="28"/>
          <w:szCs w:val="28"/>
          <w:shd w:fill="auto" w:val="clear"/>
        </w:rPr>
        <w:tab/>
        <w:t>Mới đây, Cơ quan quản lý Dược phẩm New Zealand ghi nhận được một trường hợp bệnh nhân người châu Á xuất hiện tổn thương thận cấp, đau cơ, tăng creatin phosphokinase (&gt; 10.000 U/L) và tăng kali máu khi chuyển từ một stain khác sang rosuvastatin 40mg/ngày. Theo đó, Medsafe đưa tin này nhằm nhấn mạnh lại tầm quan trọng của việc chỉ định liều rosuvastatin phù hợp với các yếu tố nguy cơ trên từng cá thể bệnh nhân.</w:t>
      </w:r>
    </w:p>
    <w:p>
      <w:pPr>
        <w:pStyle w:val="BodyText"/>
        <w:widowControl/>
        <w:pBdr/>
        <w:bidi w:val="0"/>
        <w:spacing w:lineRule="auto" w:line="331" w:before="0" w:after="0"/>
        <w:ind w:hanging="0" w:left="0" w:right="0"/>
        <w:jc w:val="both"/>
        <w:rPr>
          <w:rFonts w:ascii="Times New Roman" w:hAnsi="Times New Roman" w:cs="Times New Roman"/>
          <w:b/>
          <w:i w:val="false"/>
          <w:caps w:val="false"/>
          <w:smallCaps w:val="false"/>
          <w:color w:val="000000"/>
          <w:spacing w:val="0"/>
          <w:sz w:val="28"/>
          <w:szCs w:val="28"/>
          <w:shd w:fill="auto" w:val="clear"/>
        </w:rPr>
      </w:pPr>
      <w:r>
        <w:rPr>
          <w:rFonts w:cs="Times New Roman" w:ascii="Times New Roman" w:hAnsi="Times New Roman"/>
          <w:b/>
          <w:i w:val="false"/>
          <w:caps w:val="false"/>
          <w:smallCaps w:val="false"/>
          <w:color w:val="000000"/>
          <w:spacing w:val="0"/>
          <w:sz w:val="28"/>
          <w:szCs w:val="28"/>
          <w:shd w:fill="auto" w:val="clear"/>
        </w:rPr>
        <w:t>Chỉ định và hiệu lực của rosuvastatin</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ab/>
        <w:t>Rosuvastatin là một thuốc thuộc nhóm statin, được chỉ định trong điều trị tăng cholesterol máu và dự phòng các biến cố tim mạch nghiêm trọng. Rosuvastatin hiện là statin có cường độ tác dụng mạnh nhất trong số các statin đang lưu hành, nói cách khác thuốc này có thể  đạt được hiệu quả điều trị ở mức liều thấp hơn so với pravastatin, simvastatin và atorvastatin.</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ab/>
        <w:t>Do có cường độ tác dụng mạnh, liều khởi đầu khuyến cáo của rosuvastatin trong điều trị tăng cholesterol máu thường là 5mg/ngày hoặc 10mg/ngày, áp dụng cho cả bệnh nhân chưa từng sử dụng statin và bệnh nhân chuyển từ một thuốc khác sang sử dụng rosuvastatin. Tùy theo đáp ứng điều trị, có thể hiệu chỉnh liều sau 4 tuần với liều tối đa thông thường là 20 mg/ngày. Đối với dự phòng các biến cố tim mạch, liều khuyến cáo là 20 mg/ngày. </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Tương tự các statin khác, rosuvastatin có thể gây các biến cố bất lợi trên cơ xương, bao gồm bệnh liên quan đến cơ và tiêu cơ vân. Đặc biệt, nguy cơ tiêu cơ vân tăng đáng kể khi sử dụng rosuvastatin ở mức liều cao nhất. Do đó, nhân viên y tế cần khuyến cáo bệnh nhân lưu ý và thông báo ngay cho nhân viên y tế khi xuất hiện các triệu chứng như đau, nhạy cảm hoặc yếu cơ không rõ nguyên nhân, đặc biệt khi kèm theo mệt mỏi hoặc sốt. </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rPr>
      </w:pPr>
      <w:r>
        <w:rPr>
          <w:rFonts w:cs="Times New Roman" w:ascii="Times New Roman" w:hAnsi="Times New Roman"/>
          <w:b w:val="false"/>
          <w:i w:val="false"/>
          <w:caps w:val="false"/>
          <w:smallCaps w:val="false"/>
          <w:color w:val="000000"/>
          <w:spacing w:val="0"/>
          <w:sz w:val="28"/>
          <w:szCs w:val="28"/>
          <w:shd w:fill="auto" w:val="clear"/>
        </w:rPr>
        <w:tab/>
        <w:t>Với mọi chỉ định, cần thận trọng khi sử dụng rosuvastatin ở những bệnh nhân có nguy cơ xuất hiện độc tính statin trên cơ xương cao, bao gồm người gốc châu Á, bệnh nhân suy thận hoặc suy gan nặng, người cao tuổi, bệnh nhân đang sử dụng đồng thời các thuốc làm tăng nồng độ rosuvastatin và bệnh nhân mang một số đa hình gen nhất định (</w:t>
      </w:r>
      <w:r>
        <w:rPr>
          <w:rFonts w:cs="Times New Roman" w:ascii="Times New Roman" w:hAnsi="Times New Roman"/>
          <w:b/>
          <w:i w:val="false"/>
          <w:caps w:val="false"/>
          <w:smallCaps w:val="false"/>
          <w:color w:val="000000"/>
          <w:spacing w:val="0"/>
          <w:sz w:val="28"/>
          <w:szCs w:val="28"/>
          <w:shd w:fill="auto" w:val="clear"/>
        </w:rPr>
        <w:t>Bảng 1)</w:t>
      </w:r>
      <w:r>
        <w:rPr>
          <w:rFonts w:cs="Times New Roman" w:ascii="Times New Roman" w:hAnsi="Times New Roman"/>
          <w:b w:val="false"/>
          <w:i w:val="false"/>
          <w:caps w:val="false"/>
          <w:smallCaps w:val="false"/>
          <w:color w:val="000000"/>
          <w:spacing w:val="0"/>
          <w:sz w:val="28"/>
          <w:szCs w:val="28"/>
          <w:shd w:fill="auto" w:val="clear"/>
        </w:rPr>
        <w:t>. </w:t>
      </w:r>
    </w:p>
    <w:p>
      <w:pPr>
        <w:pStyle w:val="BodyText"/>
        <w:widowControl/>
        <w:pBdr/>
        <w:bidi w:val="0"/>
        <w:spacing w:lineRule="auto" w:line="331" w:before="0" w:after="0"/>
        <w:ind w:hanging="0" w:left="0" w:right="0"/>
        <w:jc w:val="both"/>
        <w:rPr>
          <w:rFonts w:ascii="Times New Roman" w:hAnsi="Times New Roman" w:cs="Times New Roman"/>
          <w:color w:val="414141"/>
          <w:sz w:val="28"/>
          <w:szCs w:val="28"/>
        </w:rPr>
      </w:pPr>
      <w:r>
        <w:rPr>
          <w:rStyle w:val="Strong"/>
          <w:rFonts w:cs="Times New Roman" w:ascii="Times New Roman" w:hAnsi="Times New Roman"/>
          <w:b w:val="false"/>
          <w:i w:val="false"/>
          <w:caps w:val="false"/>
          <w:smallCaps w:val="false"/>
          <w:color w:val="000000"/>
          <w:spacing w:val="0"/>
          <w:sz w:val="28"/>
          <w:szCs w:val="28"/>
          <w:shd w:fill="auto" w:val="clear"/>
        </w:rPr>
        <w:tab/>
        <w:t>Khởi trị rosuvastatin liều thấp </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ab/>
        <w:t xml:space="preserve">Một số bệnh nhân có nguy cơ độc tính trên cơ xương cao hơn do tăng phơi nhiễm toàn thân với rosuvastatin. Khuyến cáo về liều rosuvastatin khởi đầu trong các tở thông tin sản phẩm được trình bày tại Bảng 1. </w:t>
      </w:r>
    </w:p>
    <w:p>
      <w:pPr>
        <w:pStyle w:val="BodyText"/>
        <w:widowControl/>
        <w:pBdr/>
        <w:bidi w:val="0"/>
        <w:spacing w:lineRule="auto" w:line="331" w:before="0" w:after="0"/>
        <w:ind w:hanging="0" w:left="0" w:right="0"/>
        <w:jc w:val="center"/>
        <w:rPr>
          <w:rFonts w:ascii="Times New Roman" w:hAnsi="Times New Roman" w:cs="Times New Roman"/>
          <w:b w:val="false"/>
          <w:i w:val="false"/>
          <w:caps w:val="false"/>
          <w:smallCaps w:val="false"/>
          <w:color w:val="414141"/>
          <w:spacing w:val="0"/>
          <w:sz w:val="28"/>
          <w:szCs w:val="28"/>
        </w:rPr>
      </w:pPr>
      <w:r>
        <w:rPr>
          <w:rFonts w:cs="Times New Roman" w:ascii="Times New Roman" w:hAnsi="Times New Roman"/>
          <w:b/>
          <w:i w:val="false"/>
          <w:caps w:val="false"/>
          <w:smallCaps w:val="false"/>
          <w:color w:val="000000"/>
          <w:spacing w:val="0"/>
          <w:sz w:val="28"/>
          <w:szCs w:val="28"/>
          <w:shd w:fill="auto" w:val="clear"/>
        </w:rPr>
        <w:t>Bảng 1. Các yếu tố nguy cơ gây độc tính trên cơ xương và khuyến cáo điều chỉnh liều rosuvastatin</w:t>
      </w:r>
      <w:r>
        <w:rPr>
          <w:rFonts w:cs="Times New Roman" w:ascii="Times New Roman" w:hAnsi="Times New Roman"/>
          <w:b w:val="false"/>
          <w:i w:val="false"/>
          <w:caps w:val="false"/>
          <w:smallCaps w:val="false"/>
          <w:color w:val="000000"/>
          <w:spacing w:val="0"/>
          <w:sz w:val="28"/>
          <w:szCs w:val="28"/>
          <w:shd w:fill="auto" w:val="clear"/>
        </w:rPr>
        <w:t> </w:t>
      </w:r>
    </w:p>
    <w:tbl>
      <w:tblPr>
        <w:tblW w:w="9972" w:type="dxa"/>
        <w:jc w:val="center"/>
        <w:tblInd w:w="0" w:type="dxa"/>
        <w:tblLayout w:type="fixed"/>
        <w:tblCellMar>
          <w:top w:w="100" w:type="dxa"/>
          <w:left w:w="100" w:type="dxa"/>
          <w:bottom w:w="100" w:type="dxa"/>
          <w:right w:w="100" w:type="dxa"/>
        </w:tblCellMar>
      </w:tblPr>
      <w:tblGrid>
        <w:gridCol w:w="5679"/>
        <w:gridCol w:w="4293"/>
      </w:tblGrid>
      <w:tr>
        <w:trPr>
          <w:trHeight w:val="818" w:hRule="atLeast"/>
        </w:trPr>
        <w:tc>
          <w:tcPr>
            <w:tcW w:w="5679"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center"/>
              <w:rPr>
                <w:rFonts w:ascii="Times New Roman" w:hAnsi="Times New Roman" w:cs="Times New Roman"/>
                <w:color w:val="414141"/>
                <w:sz w:val="28"/>
                <w:szCs w:val="28"/>
              </w:rPr>
            </w:pPr>
            <w:r>
              <w:rPr>
                <w:rStyle w:val="Strong"/>
                <w:rFonts w:cs="Times New Roman" w:ascii="Times New Roman" w:hAnsi="Times New Roman"/>
                <w:caps w:val="false"/>
                <w:smallCaps w:val="false"/>
                <w:color w:val="000000"/>
                <w:sz w:val="28"/>
                <w:szCs w:val="28"/>
                <w:shd w:fill="auto" w:val="clear"/>
              </w:rPr>
              <w:t>Yếu tố nguy cơ</w:t>
            </w:r>
          </w:p>
        </w:tc>
        <w:tc>
          <w:tcPr>
            <w:tcW w:w="4293"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center"/>
              <w:rPr>
                <w:rFonts w:ascii="Times New Roman" w:hAnsi="Times New Roman" w:cs="Times New Roman"/>
                <w:color w:val="414141"/>
                <w:sz w:val="28"/>
                <w:szCs w:val="28"/>
              </w:rPr>
            </w:pPr>
            <w:r>
              <w:rPr>
                <w:rStyle w:val="Strong"/>
                <w:rFonts w:cs="Times New Roman" w:ascii="Times New Roman" w:hAnsi="Times New Roman"/>
                <w:caps w:val="false"/>
                <w:smallCaps w:val="false"/>
                <w:color w:val="000000"/>
                <w:sz w:val="28"/>
                <w:szCs w:val="28"/>
                <w:shd w:fill="auto" w:val="clear"/>
              </w:rPr>
              <w:t>Khuyến cáo điều chỉnh liều rosuvastatin</w:t>
            </w:r>
          </w:p>
        </w:tc>
      </w:tr>
      <w:tr>
        <w:trPr/>
        <w:tc>
          <w:tcPr>
            <w:tcW w:w="5679"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Người gốc châu Á </w:t>
            </w:r>
          </w:p>
        </w:tc>
        <w:tc>
          <w:tcPr>
            <w:tcW w:w="4293"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Khởi đầu 5mg/ngày. Thận trọng khi sử dụng liều đến 20 mg/ngày. Không sử dụng liều 40 mg.</w:t>
            </w:r>
          </w:p>
        </w:tc>
      </w:tr>
      <w:tr>
        <w:trPr/>
        <w:tc>
          <w:tcPr>
            <w:tcW w:w="5679"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Suy thận nặng (độ thanh thải creatinin &lt; 30mL/phút)</w:t>
            </w:r>
          </w:p>
        </w:tc>
        <w:tc>
          <w:tcPr>
            <w:tcW w:w="4293"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Khởi đầu 5mg/ngày, không dùng quá 10 mg/ngày.</w:t>
            </w:r>
          </w:p>
        </w:tc>
      </w:tr>
      <w:tr>
        <w:trPr/>
        <w:tc>
          <w:tcPr>
            <w:tcW w:w="5679"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Suy gan nặng</w:t>
            </w:r>
          </w:p>
        </w:tc>
        <w:tc>
          <w:tcPr>
            <w:tcW w:w="4293"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Khởi đầu 5mg/ngày. Thận trọng khi sử dụng liều &gt; 10 mg/ngày.</w:t>
            </w:r>
          </w:p>
        </w:tc>
      </w:tr>
      <w:tr>
        <w:trPr/>
        <w:tc>
          <w:tcPr>
            <w:tcW w:w="5679"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Tuổi cao (&gt; 70 tuổi)</w:t>
            </w:r>
          </w:p>
        </w:tc>
        <w:tc>
          <w:tcPr>
            <w:tcW w:w="4293"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Khởi đầu 5mg/ngày.</w:t>
            </w:r>
          </w:p>
        </w:tc>
      </w:tr>
      <w:tr>
        <w:trPr/>
        <w:tc>
          <w:tcPr>
            <w:tcW w:w="5679"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Sử dụng đồng thời các thuốc ức chế protein vận chuyển rosuvastatin, như OATP1B1 và BCRP (ví dụ: ciclosporin, ticagrelor và một số thuốc ức chế protease)</w:t>
            </w:r>
          </w:p>
        </w:tc>
        <w:tc>
          <w:tcPr>
            <w:tcW w:w="4293"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Khởi đầu 5mg/ngày khi sử dụng đồng thời với các thuốc làm tăng AUC của rosuvastatin ≥ 2 lần. </w:t>
            </w:r>
          </w:p>
        </w:tc>
      </w:tr>
      <w:tr>
        <w:trPr/>
        <w:tc>
          <w:tcPr>
            <w:tcW w:w="5679"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Đa hình gen (kiểu gen SLCO1B1 (OATP1B1) c.521CC hoặc ABCG2 (BCRP) c.421AA)</w:t>
            </w:r>
          </w:p>
        </w:tc>
        <w:tc>
          <w:tcPr>
            <w:tcW w:w="4293" w:type="dxa"/>
            <w:tcBorders>
              <w:top w:val="single" w:sz="8" w:space="0" w:color="000000"/>
              <w:left w:val="single" w:sz="8" w:space="0" w:color="000000"/>
              <w:bottom w:val="single" w:sz="8" w:space="0" w:color="000000"/>
              <w:right w:val="single" w:sz="8" w:space="0" w:color="000000"/>
            </w:tcBorders>
            <w:vAlign w:val="center"/>
          </w:tcPr>
          <w:p>
            <w:pPr>
              <w:pStyle w:val="TableContents"/>
              <w:widowControl/>
              <w:pBdr/>
              <w:bidi w:val="0"/>
              <w:spacing w:lineRule="auto" w:line="331" w:before="0" w:after="0"/>
              <w:ind w:hanging="0" w:left="0" w:right="0"/>
              <w:jc w:val="both"/>
              <w:rPr>
                <w:rFonts w:ascii="Times New Roman" w:hAnsi="Times New Roman" w:cs="Times New Roman"/>
                <w:caps w:val="false"/>
                <w:smallCaps w:val="false"/>
                <w:color w:val="000000"/>
                <w:sz w:val="28"/>
                <w:szCs w:val="28"/>
                <w:shd w:fill="auto" w:val="clear"/>
              </w:rPr>
            </w:pPr>
            <w:r>
              <w:rPr>
                <w:rFonts w:cs="Times New Roman" w:ascii="Times New Roman" w:hAnsi="Times New Roman"/>
                <w:caps w:val="false"/>
                <w:smallCaps w:val="false"/>
                <w:color w:val="000000"/>
                <w:sz w:val="28"/>
                <w:szCs w:val="28"/>
                <w:shd w:fill="auto" w:val="clear"/>
              </w:rPr>
              <w:t>Chưa có khuyến cáo về liều khởi đầu trong tờ thông tin sản phẩm. Tuy nhiên, không dùng quá 20 mg/ngày.</w:t>
            </w:r>
          </w:p>
        </w:tc>
      </w:tr>
    </w:tbl>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414141"/>
          <w:spacing w:val="0"/>
          <w:sz w:val="28"/>
          <w:szCs w:val="28"/>
        </w:rPr>
      </w:pPr>
      <w:r>
        <w:rPr>
          <w:rFonts w:cs="Times New Roman" w:ascii="Times New Roman" w:hAnsi="Times New Roman"/>
          <w:b/>
          <w:i/>
          <w:caps w:val="false"/>
          <w:smallCaps w:val="false"/>
          <w:color w:val="000000"/>
          <w:spacing w:val="0"/>
          <w:sz w:val="28"/>
          <w:szCs w:val="28"/>
          <w:shd w:fill="auto" w:val="clear"/>
        </w:rPr>
        <w:t xml:space="preserve">Lưu ý: </w:t>
      </w:r>
      <w:r>
        <w:rPr>
          <w:rFonts w:cs="Times New Roman" w:ascii="Times New Roman" w:hAnsi="Times New Roman"/>
          <w:b w:val="false"/>
          <w:i w:val="false"/>
          <w:caps w:val="false"/>
          <w:smallCaps w:val="false"/>
          <w:color w:val="000000"/>
          <w:spacing w:val="0"/>
          <w:sz w:val="28"/>
          <w:szCs w:val="28"/>
          <w:shd w:fill="auto" w:val="clear"/>
        </w:rPr>
        <w:t>Tờ thông tin sản phẩm của Crestor (rosuvastatin) mới được cập nhật với khuyến cáo bắt đầu khởi trị rosuvastatin ở liều 5mg/ngày đối với bệnh nhân suy thận hoặc suy gan nặng (trước đây là 10 mg/ngày). Khuyến cáo về liều khởi đầu 5mg/ngày cho bệnh nhân cao tuổi (trên 70 tuổi) là một điểm mới.</w:t>
      </w:r>
    </w:p>
    <w:p>
      <w:pPr>
        <w:pStyle w:val="BodyText"/>
        <w:widowControl/>
        <w:pBdr/>
        <w:bidi w:val="0"/>
        <w:spacing w:lineRule="auto" w:line="331" w:before="0" w:after="0"/>
        <w:ind w:hanging="0" w:left="0" w:right="0"/>
        <w:jc w:val="both"/>
        <w:rPr>
          <w:rFonts w:ascii="Times New Roman" w:hAnsi="Times New Roman" w:cs="Times New Roman"/>
          <w:b/>
          <w:i w:val="false"/>
          <w:caps w:val="false"/>
          <w:smallCaps w:val="false"/>
          <w:color w:val="000000"/>
          <w:spacing w:val="0"/>
          <w:sz w:val="28"/>
          <w:szCs w:val="28"/>
          <w:shd w:fill="auto" w:val="clear"/>
        </w:rPr>
      </w:pPr>
      <w:r>
        <w:rPr>
          <w:rFonts w:cs="Times New Roman" w:ascii="Times New Roman" w:hAnsi="Times New Roman"/>
          <w:b/>
          <w:i w:val="false"/>
          <w:caps w:val="false"/>
          <w:smallCaps w:val="false"/>
          <w:color w:val="000000"/>
          <w:spacing w:val="0"/>
          <w:sz w:val="28"/>
          <w:szCs w:val="28"/>
          <w:shd w:fill="auto" w:val="clear"/>
        </w:rPr>
        <w:t>Khuyến cáo dành cho nhân viên y tế</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Theo cơ quan quản lý Dược phẩm New Zealand, chỉ sử dụng rosuvastatin 40mg/ngày ở những bệnh nhân vẫn còn tăng cholesterol máu nặng và có nguy cơ tim mạch cao mặc dù đã điều trị bằng liều 20mg/ngày. Đồng thời, cần theo dõi điều trị cẩn thận khi sử dụng mức liều 40mg/ngày cho bệnh nhân. </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Ngoài các yếu tố nguy cơ được liệt kê tại Bảng 1, không sử dụng rosuvastatin liều 40mg/ngày ở những bệnh nhân:</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 Có tiền sử độc tính trên cơ khi sử dụng một thuốc ức chế HMG-CoA reductase hoặc fibrat khác.</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 Có tiền sử bản thân hoặc gia đình mắc bệnh cơ di truyền.</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 Nghiện rượu.</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 Suy giáp.</w:t>
      </w:r>
    </w:p>
    <w:p>
      <w:pPr>
        <w:pStyle w:val="BodyText"/>
        <w:widowControl/>
        <w:pBdr/>
        <w:bidi w:val="0"/>
        <w:spacing w:lineRule="auto" w:line="331" w:before="0" w:after="0"/>
        <w:ind w:hanging="0" w:left="0" w:right="0"/>
        <w:jc w:val="both"/>
        <w:rPr>
          <w:rFonts w:ascii="Times New Roman" w:hAnsi="Times New Roman" w:cs="Times New Roman"/>
          <w:b w:val="false"/>
          <w:i w:val="false"/>
          <w:caps w:val="false"/>
          <w:smallCaps w:val="false"/>
          <w:color w:val="414141"/>
          <w:spacing w:val="0"/>
          <w:sz w:val="28"/>
          <w:szCs w:val="28"/>
        </w:rPr>
      </w:pPr>
      <w:r>
        <w:rPr>
          <w:rFonts w:cs="Times New Roman" w:ascii="Times New Roman" w:hAnsi="Times New Roman"/>
          <w:b w:val="false"/>
          <w:i w:val="false"/>
          <w:caps w:val="false"/>
          <w:smallCaps w:val="false"/>
          <w:color w:val="000000"/>
          <w:spacing w:val="0"/>
          <w:sz w:val="28"/>
          <w:szCs w:val="28"/>
          <w:shd w:fill="auto" w:val="clear"/>
        </w:rPr>
        <w:t>- Đang điều trị bằng fibrat.</w:t>
      </w:r>
    </w:p>
    <w:p>
      <w:pPr>
        <w:pStyle w:val="BodyText"/>
        <w:widowControl/>
        <w:pBdr/>
        <w:bidi w:val="0"/>
        <w:spacing w:lineRule="auto" w:line="331" w:before="0" w:after="0"/>
        <w:ind w:hanging="0" w:left="0" w:right="0"/>
        <w:jc w:val="both"/>
        <w:rPr>
          <w:rFonts w:ascii="Times New Roman" w:hAnsi="Times New Roman" w:cs="Times New Roman"/>
          <w:color w:val="414141"/>
          <w:sz w:val="28"/>
          <w:szCs w:val="28"/>
        </w:rPr>
      </w:pPr>
      <w:r>
        <w:rPr>
          <w:rFonts w:cs="Times New Roman" w:ascii="arial;helvetica;sans-serif" w:hAnsi="arial;helvetica;sans-serif"/>
          <w:b w:val="false"/>
          <w:i w:val="false"/>
          <w:caps w:val="false"/>
          <w:smallCaps w:val="false"/>
          <w:color w:val="414141"/>
          <w:spacing w:val="0"/>
          <w:sz w:val="20"/>
          <w:szCs w:val="20"/>
        </w:rPr>
        <w:t>Nguồn: </w:t>
      </w:r>
      <w:hyperlink r:id="rId5">
        <w:r>
          <w:rPr>
            <w:rStyle w:val="Hyperlink"/>
            <w:rFonts w:cs="Times New Roman" w:ascii="arial;helvetica;sans-serif" w:hAnsi="arial;helvetica;sans-serif"/>
            <w:b w:val="false"/>
            <w:i w:val="false"/>
            <w:caps w:val="false"/>
            <w:smallCaps w:val="false"/>
            <w:strike w:val="false"/>
            <w:dstrike w:val="false"/>
            <w:color w:val="414141"/>
            <w:spacing w:val="0"/>
            <w:sz w:val="20"/>
            <w:szCs w:val="20"/>
            <w:u w:val="none"/>
            <w:effect w:val="none"/>
          </w:rPr>
          <w:t>https://www.medsafe.govt.nz/profs/PUArticles/September2026/Rosuvastatin-dose-considerations.html</w:t>
        </w:r>
      </w:hyperlink>
    </w:p>
    <w:p>
      <w:pPr>
        <w:sectPr>
          <w:type w:val="continuous"/>
          <w:pgSz w:w="12240" w:h="15840"/>
          <w:pgMar w:left="1134" w:right="1134" w:gutter="0" w:header="0" w:top="1134" w:footer="720" w:bottom="1134"/>
          <w:formProt w:val="false"/>
          <w:textDirection w:val="lrTb"/>
          <w:docGrid w:type="default" w:linePitch="360" w:charSpace="0"/>
        </w:sectPr>
      </w:pPr>
    </w:p>
    <w:p>
      <w:pPr>
        <w:pStyle w:val="Normal"/>
        <w:spacing w:lineRule="auto" w:line="240" w:before="0" w:after="0"/>
        <w:rPr>
          <w:rFonts w:ascii="Times New Roman" w:hAnsi="Times New Roman"/>
          <w:color w:val="FF0000"/>
          <w:sz w:val="28"/>
          <w:szCs w:val="28"/>
          <w:highlight w:val="none"/>
          <w:shd w:fill="FFFF00" w:val="clear"/>
        </w:rPr>
      </w:pPr>
      <w:r>
        <w:rPr>
          <w:rFonts w:cs="Times New Roman" w:ascii="Times New Roman" w:hAnsi="Times New Roman"/>
          <w:color w:val="FF0000"/>
          <w:sz w:val="28"/>
          <w:szCs w:val="28"/>
          <w:shd w:fill="FFFF00" w:val="clear"/>
        </w:rPr>
        <w:t>I</w:t>
      </w:r>
      <w:r>
        <w:rPr>
          <w:rFonts w:cs="Times New Roman" w:ascii="Times New Roman" w:hAnsi="Times New Roman"/>
          <w:b/>
          <w:bCs/>
          <w:color w:val="FF0000"/>
          <w:sz w:val="28"/>
          <w:szCs w:val="28"/>
          <w:shd w:fill="FFFF00" w:val="clear"/>
        </w:rPr>
        <w:t>I.</w:t>
      </w:r>
      <w:r>
        <w:rPr>
          <w:rFonts w:ascii="Times New Roman" w:hAnsi="Times New Roman"/>
          <w:b/>
          <w:bCs/>
          <w:i w:val="false"/>
          <w:caps w:val="false"/>
          <w:smallCaps w:val="false"/>
          <w:color w:val="FF0000"/>
          <w:spacing w:val="0"/>
          <w:sz w:val="28"/>
          <w:szCs w:val="28"/>
          <w:shd w:fill="FFFF00" w:val="clear"/>
        </w:rPr>
        <w:t>Medsafe: Nguy cơ liệt chu kỳ liên quan cường giáp khi sử dụng predniso</w:t>
      </w:r>
      <w:r>
        <w:rPr>
          <w:rFonts w:ascii="Times New Roman" w:hAnsi="Times New Roman"/>
          <w:b w:val="false"/>
          <w:i w:val="false"/>
          <w:caps w:val="false"/>
          <w:smallCaps w:val="false"/>
          <w:color w:val="FF0000"/>
          <w:spacing w:val="0"/>
          <w:sz w:val="28"/>
          <w:szCs w:val="28"/>
          <w:shd w:fill="FFFF00" w:val="clear"/>
        </w:rPr>
        <w:t>n</w:t>
      </w:r>
    </w:p>
    <w:p>
      <w:pPr>
        <w:sectPr>
          <w:type w:val="continuous"/>
          <w:pgSz w:w="12240" w:h="15840"/>
          <w:pgMar w:left="1134" w:right="1134" w:gutter="0" w:header="0" w:top="1134" w:footer="720" w:bottom="1134"/>
          <w:pgNumType w:fmt="decimal"/>
          <w:formProt w:val="false"/>
          <w:textDirection w:val="lrTb"/>
          <w:docGrid w:type="default" w:linePitch="360" w:charSpace="0"/>
        </w:sectPr>
      </w:pP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414141"/>
          <w:spacing w:val="0"/>
          <w:sz w:val="28"/>
          <w:szCs w:val="28"/>
        </w:rPr>
      </w:pPr>
      <w:r>
        <w:rPr>
          <w:rFonts w:cs="Times New Roman" w:ascii="Times New Roman" w:hAnsi="Times New Roman"/>
          <w:b w:val="false"/>
          <w:i w:val="false"/>
          <w:caps w:val="false"/>
          <w:smallCaps w:val="false"/>
          <w:color w:val="000000"/>
          <w:spacing w:val="0"/>
          <w:sz w:val="28"/>
          <w:szCs w:val="28"/>
          <w:shd w:fill="auto" w:val="clear"/>
        </w:rPr>
        <w:t>Liệt chu kỳ do cường giáp (</w:t>
      </w:r>
      <w:r>
        <w:rPr>
          <w:rFonts w:cs="Times New Roman" w:ascii="Times New Roman" w:hAnsi="Times New Roman"/>
          <w:b w:val="false"/>
          <w:i w:val="false"/>
          <w:caps w:val="false"/>
          <w:smallCaps w:val="false"/>
          <w:color w:val="000000"/>
          <w:spacing w:val="0"/>
          <w:sz w:val="28"/>
          <w:szCs w:val="28"/>
        </w:rPr>
        <w:t xml:space="preserve">thyrotoxic periodic paralysis - </w:t>
      </w:r>
      <w:r>
        <w:rPr>
          <w:rFonts w:cs="Times New Roman" w:ascii="Times New Roman" w:hAnsi="Times New Roman"/>
          <w:b w:val="false"/>
          <w:i w:val="false"/>
          <w:caps w:val="false"/>
          <w:smallCaps w:val="false"/>
          <w:color w:val="000000"/>
          <w:spacing w:val="0"/>
          <w:sz w:val="28"/>
          <w:szCs w:val="28"/>
          <w:shd w:fill="auto" w:val="clear"/>
        </w:rPr>
        <w:t>TPP) là một biến chứng của cường giáp, đặc trưng bởi các đợt yếu cơ tái diễn kèm hạ kali máu, xảy ra do kali đột ngột dịch chuyển từ khoang ngoại bào vào trong tế bào. Nếu không được chẩn đoán và điều trị kịp thời, TPP có thể dẫn đến những biến chứng nghiêm trọng, chẳng hạn như loạn nhịp thất và suy hô hấp. TPP chủ yếu gặp ở nam giới người châu Á, tuy nhiên tình trạng này ngày càng được ghi nhận nhiều hơn tại các quốc gia phương Tây. Một nghiên cứu tại New Zealand cho thấy tỷ lệ mắc TPP ở người Polynesia cao hơn so với người châu Âu.</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1" w:name="docs-internal-guid-208f46e1-7fff-51f2-b7"/>
      <w:bookmarkEnd w:id="1"/>
      <w:r>
        <w:rPr>
          <w:rFonts w:cs="Times New Roman" w:ascii="Times New Roman" w:hAnsi="Times New Roman"/>
          <w:b w:val="false"/>
          <w:i w:val="false"/>
          <w:caps w:val="false"/>
          <w:smallCaps w:val="false"/>
          <w:color w:val="000000"/>
          <w:spacing w:val="0"/>
          <w:sz w:val="28"/>
          <w:szCs w:val="28"/>
          <w:shd w:fill="auto" w:val="clear"/>
        </w:rPr>
        <w:t>TPP có liên quan đến sự gia tăng hoạt tính của bơm Na⁺/K⁺-ATPase, tăng vận chuyển kali vào tế bào cơ, dẫn đến làm giảm nồng độ kali trong tuần hoàn. Trạng thái phân cực quá mức của màng tế bào cơ làm giảm tính hưng phấn của cơ, từ đó dẫn đến liệt cơ.</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2" w:name="docs-internal-guid-208f46e1-7fff-51f2-b1"/>
      <w:bookmarkEnd w:id="2"/>
      <w:r>
        <w:rPr>
          <w:rFonts w:cs="Times New Roman" w:ascii="Times New Roman" w:hAnsi="Times New Roman"/>
          <w:b w:val="false"/>
          <w:i w:val="false"/>
          <w:caps w:val="false"/>
          <w:smallCaps w:val="false"/>
          <w:color w:val="000000"/>
          <w:spacing w:val="0"/>
          <w:sz w:val="28"/>
          <w:szCs w:val="28"/>
          <w:shd w:fill="auto" w:val="clear"/>
        </w:rPr>
        <w:t>Bơm Na⁺/K⁺-ATPase hoạt động quá mức khi nồng độ hormon tuyến giáp tăng cao và sự kích thích hệ giao cảm (đáp ứng β-adrenergic) do tình trạng cường giáp gây ra.</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3" w:name="docs-internal-guid-208f46e1-7fff-51f2-b2"/>
      <w:bookmarkEnd w:id="3"/>
      <w:r>
        <w:rPr>
          <w:rFonts w:cs="Times New Roman" w:ascii="Times New Roman" w:hAnsi="Times New Roman"/>
          <w:b w:val="false"/>
          <w:i w:val="false"/>
          <w:caps w:val="false"/>
          <w:smallCaps w:val="false"/>
          <w:color w:val="000000"/>
          <w:spacing w:val="0"/>
          <w:sz w:val="28"/>
          <w:szCs w:val="28"/>
          <w:shd w:fill="auto" w:val="clear"/>
        </w:rPr>
        <w:t>Các cơn cấp thường xuất hiện vài giờ sau một bữa ăn giàu carbohydrat hoặc sau khi vận động gắng sức; do các yếu tố khởi phát này kích thích hoạt động của bơm Na⁺/K⁺-ATPase và làm tăng vận chuyển kali từ máu vào tế bào cơ.</w:t>
      </w:r>
    </w:p>
    <w:p>
      <w:pPr>
        <w:pStyle w:val="BodyText"/>
        <w:widowControl/>
        <w:pBdr/>
        <w:bidi w:val="0"/>
        <w:spacing w:lineRule="auto" w:line="288" w:before="0" w:after="0"/>
        <w:ind w:hanging="0" w:left="0" w:right="0"/>
        <w:jc w:val="both"/>
        <w:rPr>
          <w:rFonts w:ascii="Times New Roman" w:hAnsi="Times New Roman" w:cs="Times New Roman"/>
          <w:color w:val="414141"/>
          <w:sz w:val="28"/>
          <w:szCs w:val="28"/>
        </w:rPr>
      </w:pPr>
      <w:r>
        <w:rPr>
          <w:rStyle w:val="Strong"/>
          <w:rFonts w:cs="Times New Roman" w:ascii="Times New Roman" w:hAnsi="Times New Roman"/>
          <w:b w:val="false"/>
          <w:i w:val="false"/>
          <w:caps w:val="false"/>
          <w:smallCaps w:val="false"/>
          <w:color w:val="414141"/>
          <w:spacing w:val="0"/>
          <w:sz w:val="28"/>
          <w:szCs w:val="28"/>
        </w:rPr>
        <w:t>Prednisin và nguy cơ liệt chu kỳ liên quan cường giáp</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4" w:name="docs-internal-guid-208f46e1-7fff-51f2-b3"/>
      <w:bookmarkEnd w:id="4"/>
      <w:r>
        <w:rPr>
          <w:rFonts w:cs="Times New Roman" w:ascii="Times New Roman" w:hAnsi="Times New Roman"/>
          <w:b w:val="false"/>
          <w:i w:val="false"/>
          <w:caps w:val="false"/>
          <w:smallCaps w:val="false"/>
          <w:color w:val="000000"/>
          <w:spacing w:val="0"/>
          <w:sz w:val="28"/>
          <w:szCs w:val="28"/>
          <w:shd w:fill="auto" w:val="clear"/>
        </w:rPr>
        <w:t>Prednison có thể gây hạ kali máu, từ đó có thể gây khởi phát TPP. Vì vậy, bệnh nhân cường giáp cần điều trị bằng prednison có nguy cơ xuất hiện TPP. </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5" w:name="docs-internal-guid-208f46e1-7fff-51f2-b4"/>
      <w:bookmarkEnd w:id="5"/>
      <w:r>
        <w:rPr>
          <w:rFonts w:cs="Times New Roman" w:ascii="Times New Roman" w:hAnsi="Times New Roman"/>
          <w:b w:val="false"/>
          <w:i w:val="false"/>
          <w:caps w:val="false"/>
          <w:smallCaps w:val="false"/>
          <w:color w:val="000000"/>
          <w:spacing w:val="0"/>
          <w:sz w:val="28"/>
          <w:szCs w:val="28"/>
          <w:shd w:fill="auto" w:val="clear"/>
        </w:rPr>
        <w:t>Khi nghi ngờ bệnh nhân mắc TPP, nhân viên y tế lưu ý:</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 Theo dõi nồng độ kali máu và điều chỉnh tình trạng hạ kali máu.</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 Đảm bảo kiểm soát tốt tình trạng cường giáp nhằm hạn chế nguy cơ tái phát các cơn TPP.</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 Do bệnh nhân nhiễm độc giáp có đáp ứng β-adrenergic tăng cường, nên có thể sử dụng thuốc chẹn β không chọn lọc (ví dụ propranolol) như một biện pháp điều trị hỗ trợ.</w:t>
      </w:r>
    </w:p>
    <w:p>
      <w:pPr>
        <w:pStyle w:val="BodyText"/>
        <w:widowControl/>
        <w:pBdr/>
        <w:bidi w:val="0"/>
        <w:spacing w:lineRule="auto" w:line="331" w:before="0" w:after="0"/>
        <w:ind w:hanging="0" w:left="0" w:right="0"/>
        <w:jc w:val="right"/>
        <w:rPr>
          <w:rFonts w:ascii="Times New Roman" w:hAnsi="Times New Roman" w:cs="Times New Roman"/>
          <w:color w:val="414141"/>
          <w:sz w:val="28"/>
          <w:szCs w:val="28"/>
        </w:rPr>
      </w:pPr>
      <w:r>
        <w:rPr>
          <w:rFonts w:cs="Times New Roman" w:ascii="arial;helvetica;sans-serif" w:hAnsi="arial;helvetica;sans-serif"/>
          <w:b w:val="false"/>
          <w:i w:val="false"/>
          <w:caps w:val="false"/>
          <w:smallCaps w:val="false"/>
          <w:color w:val="414141"/>
          <w:spacing w:val="0"/>
          <w:sz w:val="20"/>
          <w:szCs w:val="20"/>
        </w:rPr>
        <w:t>Nguồn: </w:t>
      </w:r>
      <w:hyperlink r:id="rId6">
        <w:r>
          <w:rPr>
            <w:rStyle w:val="Hyperlink"/>
            <w:rFonts w:cs="Times New Roman" w:ascii="arial;helvetica;sans-serif" w:hAnsi="arial;helvetica;sans-serif"/>
            <w:b w:val="false"/>
            <w:i w:val="false"/>
            <w:caps w:val="false"/>
            <w:smallCaps w:val="false"/>
            <w:strike w:val="false"/>
            <w:dstrike w:val="false"/>
            <w:color w:val="414141"/>
            <w:spacing w:val="0"/>
            <w:sz w:val="20"/>
            <w:szCs w:val="20"/>
            <w:u w:val="none"/>
            <w:effect w:val="none"/>
          </w:rPr>
          <w:t>https://www.medsafe.govt.nz/profs/PUArticles/September2026/Prednisone-induced-thyrotoxic-periodic-paralysis.html</w:t>
        </w:r>
      </w:hyperlink>
    </w:p>
    <w:p>
      <w:pPr>
        <w:sectPr>
          <w:type w:val="continuous"/>
          <w:pgSz w:w="12240" w:h="15840"/>
          <w:pgMar w:left="1134" w:right="1134" w:gutter="0" w:header="0" w:top="1134" w:footer="720" w:bottom="1134"/>
          <w:formProt w:val="false"/>
          <w:textDirection w:val="lrTb"/>
          <w:docGrid w:type="default" w:linePitch="360" w:charSpace="0"/>
        </w:sectPr>
      </w:pPr>
    </w:p>
    <w:p>
      <w:pPr>
        <w:pStyle w:val="Normal"/>
        <w:spacing w:lineRule="auto" w:line="240" w:before="0" w:after="0"/>
        <w:rPr>
          <w:rFonts w:ascii="Times New Roman" w:hAnsi="Times New Roman"/>
          <w:b/>
          <w:bCs/>
          <w:i w:val="false"/>
          <w:caps w:val="false"/>
          <w:smallCaps w:val="false"/>
          <w:color w:val="FF0000"/>
          <w:spacing w:val="0"/>
          <w:sz w:val="28"/>
          <w:szCs w:val="28"/>
        </w:rPr>
      </w:pPr>
      <w:r>
        <w:rPr>
          <w:rFonts w:cs="Times New Roman" w:ascii="Times New Roman" w:hAnsi="Times New Roman"/>
          <w:b/>
          <w:bCs/>
          <w:i w:val="false"/>
          <w:caps w:val="false"/>
          <w:smallCaps w:val="false"/>
          <w:strike w:val="false"/>
          <w:dstrike w:val="false"/>
          <w:color w:val="FF0000"/>
          <w:spacing w:val="0"/>
          <w:sz w:val="28"/>
          <w:szCs w:val="28"/>
          <w:u w:val="none"/>
          <w:effect w:val="none"/>
          <w:shd w:fill="auto" w:val="clear"/>
          <w:lang w:val="vi-VN"/>
        </w:rPr>
        <w:t>I</w:t>
      </w:r>
      <w:r>
        <w:rPr>
          <w:rFonts w:cs="Times New Roman" w:ascii="Times New Roman" w:hAnsi="Times New Roman"/>
          <w:b/>
          <w:bCs/>
          <w:i w:val="false"/>
          <w:caps w:val="false"/>
          <w:smallCaps w:val="false"/>
          <w:strike w:val="false"/>
          <w:dstrike w:val="false"/>
          <w:color w:val="FF0000"/>
          <w:spacing w:val="0"/>
          <w:sz w:val="28"/>
          <w:szCs w:val="28"/>
          <w:u w:val="none"/>
          <w:effect w:val="none"/>
          <w:shd w:fill="FFFF00" w:val="clear"/>
          <w:lang w:val="vi-VN"/>
        </w:rPr>
        <w:t>II.</w:t>
      </w:r>
      <w:r>
        <w:rPr>
          <w:rFonts w:ascii="Times New Roman" w:hAnsi="Times New Roman"/>
          <w:b/>
          <w:bCs/>
          <w:i w:val="false"/>
          <w:caps w:val="false"/>
          <w:smallCaps w:val="false"/>
          <w:color w:val="FF0000"/>
          <w:spacing w:val="0"/>
          <w:sz w:val="28"/>
          <w:szCs w:val="28"/>
          <w:shd w:fill="FFFF00" w:val="clear"/>
        </w:rPr>
        <w:t>EMA &amp; FDA: Nguy cơ hạ phosphat máu và các vấn đề về xương khi sử dụng các chế phẩm sắt đường tĩnh mạch</w:t>
      </w:r>
    </w:p>
    <w:p>
      <w:pPr>
        <w:sectPr>
          <w:type w:val="continuous"/>
          <w:pgSz w:w="12240" w:h="15840"/>
          <w:pgMar w:left="1134" w:right="1134" w:gutter="0" w:header="0" w:top="1134" w:footer="720" w:bottom="1134"/>
          <w:pgNumType w:fmt="decimal"/>
          <w:formProt w:val="false"/>
          <w:textDirection w:val="lrTb"/>
          <w:docGrid w:type="default" w:linePitch="360" w:charSpace="0"/>
        </w:sectPr>
      </w:pP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bookmarkStart w:id="6" w:name="content"/>
      <w:bookmarkStart w:id="7" w:name="docs-internal-guid-ef7efdb0-7fff-4183-c8"/>
      <w:bookmarkEnd w:id="6"/>
      <w:bookmarkEnd w:id="7"/>
      <w:r>
        <w:rPr>
          <w:rFonts w:cs="Times New Roman" w:ascii="Times New Roman" w:hAnsi="Times New Roman"/>
          <w:b w:val="false"/>
          <w:i w:val="false"/>
          <w:caps w:val="false"/>
          <w:smallCaps w:val="false"/>
          <w:color w:val="000000"/>
          <w:spacing w:val="0"/>
          <w:sz w:val="28"/>
          <w:szCs w:val="28"/>
          <w:shd w:fill="auto" w:val="clear"/>
          <w:lang w:val="vi-VN"/>
        </w:rPr>
        <w:tab/>
        <w:t>Phosphat đóng vai trò then chốt trong việc duy trì sức khỏe xương; sự sụt giảm nồng độ phosphate máu kéo dài có thể dẫn đến nhuyễn xương (osteomalacia) với các biểu hiện như đau xương hoặc nghiêm trọng hơn là gãy xương. </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Chế phẩm chứa sắt đường tiêm được chỉ định trong điều trị thiếu sắt và thiếu máu do thiếu sắt ở những bệnh nhân không đáp ứng hay hấp thu được sắt dạng uống hoặc cần bổ sung nhanh lượng sắt dự trữ trong cơ thể.</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ab/>
        <w:t>Hạ phosphat máu và bệnh nhuyễn xương do hạ phosphat máu vốn được ghi nhận là tác dụng không mong muốn của các chế phẩm sắt carboxymaltose với tần suất thường gặp (lên tới 1/10 bệnh nhân). Tuy nhiên, tần suất xuất hiện bệnh nhuyễn xương do hạ phosphat máu vẫn chưa thể xác định chính xác do hạn chế về dữ liệu hiện có. Tờ thông tin sản phẩm cũng bao gồm các biện pháp giảm thiểu rủi ro, khuyến cáo theo dõi nồng độ phosphat máu ở những bệnh nhân điều trị liều cao, kéo dài hoặc có sẵn các yếu tố nguy cơ.</w:t>
      </w:r>
    </w:p>
    <w:p>
      <w:pPr>
        <w:pStyle w:val="BodyText"/>
        <w:widowControl/>
        <w:pBdr/>
        <w:bidi w:val="0"/>
        <w:spacing w:lineRule="auto" w:line="288" w:before="240" w:after="240"/>
        <w:ind w:hanging="0" w:left="0" w:right="0"/>
        <w:jc w:val="both"/>
        <w:rPr>
          <w:rFonts w:ascii="Times New Roman" w:hAnsi="Times New Roman" w:cs="Times New Roman"/>
          <w:b/>
          <w:caps w:val="false"/>
          <w:smallCaps w:val="false"/>
          <w:color w:val="414141"/>
          <w:spacing w:val="0"/>
          <w:sz w:val="28"/>
          <w:szCs w:val="28"/>
          <w:lang w:val="vi-VN"/>
        </w:rPr>
      </w:pPr>
      <w:r>
        <w:rPr>
          <w:rFonts w:cs="Times New Roman" w:ascii="Times New Roman" w:hAnsi="Times New Roman"/>
          <w:b/>
          <w:caps w:val="false"/>
          <w:smallCaps w:val="false"/>
          <w:color w:val="414141"/>
          <w:spacing w:val="0"/>
          <w:sz w:val="28"/>
          <w:szCs w:val="28"/>
          <w:lang w:val="vi-VN"/>
        </w:rPr>
        <w:t> </w:t>
      </w:r>
    </w:p>
    <w:p>
      <w:pPr>
        <w:pStyle w:val="BodyText"/>
        <w:widowControl/>
        <w:pBdr/>
        <w:bidi w:val="0"/>
        <w:spacing w:lineRule="auto" w:line="288" w:before="0" w:after="0"/>
        <w:ind w:hanging="0" w:left="0" w:right="0"/>
        <w:jc w:val="both"/>
        <w:rPr>
          <w:rFonts w:ascii="arial;helvetica;sans-serif" w:hAnsi="arial;helvetica;sans-serif" w:cs="Times New Roman"/>
          <w:b/>
          <w:i w:val="false"/>
          <w:caps w:val="false"/>
          <w:smallCaps w:val="false"/>
          <w:color w:val="000000"/>
          <w:spacing w:val="0"/>
          <w:sz w:val="24"/>
          <w:szCs w:val="28"/>
          <w:shd w:fill="auto" w:val="clear"/>
          <w:lang w:val="vi-VN"/>
        </w:rPr>
      </w:pPr>
      <w:r>
        <w:rPr>
          <w:rFonts w:cs="Times New Roman" w:ascii="arial;helvetica;sans-serif" w:hAnsi="arial;helvetica;sans-serif"/>
          <w:b/>
          <w:i w:val="false"/>
          <w:caps w:val="false"/>
          <w:smallCaps w:val="false"/>
          <w:color w:val="000000"/>
          <w:spacing w:val="0"/>
          <w:sz w:val="24"/>
          <w:szCs w:val="28"/>
          <w:shd w:fill="auto" w:val="clear"/>
          <w:lang w:val="vi-VN"/>
        </w:rPr>
        <w:tab/>
      </w:r>
      <w:r>
        <w:rPr>
          <w:rFonts w:cs="Times New Roman" w:ascii="Times New Roman" w:hAnsi="Times New Roman"/>
          <w:b/>
          <w:i w:val="false"/>
          <w:caps w:val="false"/>
          <w:smallCaps w:val="false"/>
          <w:color w:val="000000"/>
          <w:spacing w:val="0"/>
          <w:sz w:val="28"/>
          <w:szCs w:val="28"/>
          <w:shd w:fill="auto" w:val="clear"/>
          <w:lang w:val="vi-VN"/>
        </w:rPr>
        <w:t>EMA: Quyết định sẽ đánh giá lại nguy cơ hạ phosphat và nhuyễn xương ở toàn bộ các chế phẩm chứa sắt đường tĩnh mạch </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ab/>
        <w:t>Ủy ban Đánh giá Nguy cơ Cảnh giác Dược (PRAC) thuộc Cơ quan Quản lý Dược phẩm Châu Âu (EMA) đã quyết định sẽ tiến hành rà soát đánh giá về nguy cơ hạ phosphate máu và các rối loạn về xương của các loại thuốc chứa sắt đường tiêm. Đợt rà soát lần này được khởi động sau khi ghi nhận được các báo cáo ca làm dấy lên lo ngại về tính hiệu quả của các biện pháp giảm thiểu nguy cơ hiện tại đối với các chế phẩm sắt carboxymaltose tiêm tĩnh mạch. Cụ thể, nhiều trường hợp hạ phosphat máu nghiêm trọng dẫn đến nhuyễn xương đã được ghi nhận ngay cả ở những bệnh nhân chỉ mới sử dụng 1–2 liều sắt carboxymaltose và không có yếu tố nguy cơ trước đó. Bên cạnh đó, việc chẩn đoán hạ phosphat máu thường bị trì hoãn do các triệu chứng như mệt mỏi, đau cơ, đau xương có thể gây nhầm lẫn với biểu hiện của chính bệnh lý thiếu sắt. Ngoài ra, một số ca bệnh nhuyễn xương được báo cáo không được phát hiện qua hình ảnh X-quang.</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ab/>
        <w:t>Do các ca tương tự cũng được ghi nhận ở những chế phẩm sắt tiêm khác, PRAC quyết định mở rộng phạm vi rà soát đối với toàn bộ nhóm thuốc này, thay vì chỉ giới hạn ở ferric carboxymaltose. Các thuốc sắt đường uống không nằm trong phạm vi đánh giá này.</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Trong đợt đánh giá này, PRAC sẽ xem xét toàn bộ nguy cơ hạ phosphat máu và các rối loạn xương liên quan, đồng thời đánh giá hiệu quả của các biện pháp tối thiểu hóa rủi ro hiện tại. Trên cơ sở đó, Ủy ban sẽ cân nhắc việc cân bằng giữa lợi ích - rủi ro của nhóm thuốc này và đưa ra quyết định về bất kì thay đổi cần thiết nào trong giấy phép lưu hành của nhóm thuốc này.</w:t>
      </w:r>
    </w:p>
    <w:p>
      <w:pPr>
        <w:pStyle w:val="BodyText"/>
        <w:widowControl/>
        <w:pBdr/>
        <w:bidi w:val="0"/>
        <w:spacing w:lineRule="auto" w:line="288" w:before="0" w:after="0"/>
        <w:ind w:hanging="0" w:left="0" w:right="0"/>
        <w:jc w:val="both"/>
        <w:rPr>
          <w:rFonts w:ascii="Times New Roman" w:hAnsi="Times New Roman" w:cs="Times New Roman"/>
          <w:b/>
          <w:i w:val="false"/>
          <w:caps w:val="false"/>
          <w:smallCaps w:val="false"/>
          <w:color w:val="000000"/>
          <w:spacing w:val="0"/>
          <w:sz w:val="28"/>
          <w:szCs w:val="28"/>
          <w:shd w:fill="auto" w:val="clear"/>
          <w:lang w:val="vi-VN"/>
        </w:rPr>
      </w:pPr>
      <w:r>
        <w:rPr>
          <w:rFonts w:cs="Times New Roman" w:ascii="Times New Roman" w:hAnsi="Times New Roman"/>
          <w:b/>
          <w:i w:val="false"/>
          <w:caps w:val="false"/>
          <w:smallCaps w:val="false"/>
          <w:color w:val="000000"/>
          <w:spacing w:val="0"/>
          <w:sz w:val="28"/>
          <w:szCs w:val="28"/>
          <w:shd w:fill="auto" w:val="clear"/>
          <w:lang w:val="vi-VN"/>
        </w:rPr>
        <w:tab/>
        <w:t>FDA: Bổ sung Cảnh báo đặc biệt (Boxed Warning) đối với các thuốc tiêm sắt carboxymaltose </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ab/>
        <w:t>Cục Quản lý Thực phẩm và Dược phẩm Hoa Kỳ (FDA) đã yêu cầu nhà sản xuất bổ sung Box Warning trên nhãn của thuốc tiêm sắt carboxymaltose (Biệt dược Injectafer). Cảnh báo cập nhật về nguy cơ hạ phosphat máu liên quan đến thuốc tiêm sắt carboxymaltose và khuyến cáo theo dõi nồng độ phosphat ở những bệnh nhân có nguy cơ hạ phosphat máu và ở bất kỳ bệnh nhân nào được tái điều trị với thuốc trong vòng ba tháng kể từ đợt điều trị trước đó. </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ab/>
        <w:t>Biểu hiện lâm sàng tình trạng hạ phosphat máu phụ thuộc vào mức độ nghiêm trọng và thời gian kéo dài của tình trạng hạ phosphat máu. Triệu chứng có thể bao gồm yếu hoặc đau cơ, mệt mỏi, run, lú lẫn, co giật và rối loạn nhịp tim. Hạ phosphat máu nghiêm trọng mạn tính có thể dẫn đến nhuyễn xương và gãy xương.</w:t>
      </w:r>
    </w:p>
    <w:p>
      <w:pPr>
        <w:pStyle w:val="BodyText"/>
        <w:widowControl/>
        <w:pBdr/>
        <w:bidi w:val="0"/>
        <w:spacing w:lineRule="auto" w:line="288" w:before="0" w:after="0"/>
        <w:ind w:hanging="0" w:left="0" w:right="0"/>
        <w:jc w:val="both"/>
        <w:rPr>
          <w:rFonts w:ascii="Times New Roman" w:hAnsi="Times New Roman" w:cs="Times New Roman"/>
          <w:b/>
          <w:i w:val="false"/>
          <w:caps w:val="false"/>
          <w:smallCaps w:val="false"/>
          <w:color w:val="000000"/>
          <w:spacing w:val="0"/>
          <w:sz w:val="28"/>
          <w:szCs w:val="28"/>
          <w:shd w:fill="auto" w:val="clear"/>
          <w:lang w:val="vi-VN"/>
        </w:rPr>
      </w:pPr>
      <w:r>
        <w:rPr>
          <w:rFonts w:cs="Times New Roman" w:ascii="Times New Roman" w:hAnsi="Times New Roman"/>
          <w:b/>
          <w:i w:val="false"/>
          <w:caps w:val="false"/>
          <w:smallCaps w:val="false"/>
          <w:color w:val="000000"/>
          <w:spacing w:val="0"/>
          <w:sz w:val="28"/>
          <w:szCs w:val="28"/>
          <w:shd w:fill="auto" w:val="clear"/>
          <w:lang w:val="vi-VN"/>
        </w:rPr>
        <w:t>Khuyến cáo dành cho nhân viên y tế</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 Thông báo cho bệnh nhân về nguy cơ hạ phosphat máu khi sử dụng thuốc tiêm sắt carboxymaltose.</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 Kiểm tra nồng độ phosphat trong huyết thanh trước khi thực hiện đợt điều trị lặp lại nếu bệnh nhân có nguy cơ giảm phosphat huyết thanh hoặc nếu bệnh nhân đã điều trị với các chế phẩm sắt đường tiêm trong vòng ba tháng trước đó. </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 Điều trị tình trạng hạ phosphat máu của bệnh nhân trước khi sử dụng thuốc. </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 Theo dõi nồng độ phosphat huyết thanh ở những bệnh nhân có nguy cơ bị phosphat huyết thanh thấp kéo dài. </w:t>
      </w:r>
    </w:p>
    <w:p>
      <w:pPr>
        <w:pStyle w:val="BodyText"/>
        <w:widowControl/>
        <w:pBdr/>
        <w:bidi w:val="0"/>
        <w:spacing w:lineRule="auto" w:line="288"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lang w:val="vi-VN"/>
        </w:rPr>
      </w:pPr>
      <w:r>
        <w:rPr>
          <w:rFonts w:cs="Times New Roman" w:ascii="Times New Roman" w:hAnsi="Times New Roman"/>
          <w:b w:val="false"/>
          <w:i w:val="false"/>
          <w:caps w:val="false"/>
          <w:smallCaps w:val="false"/>
          <w:color w:val="000000"/>
          <w:spacing w:val="0"/>
          <w:sz w:val="28"/>
          <w:szCs w:val="28"/>
          <w:shd w:fill="auto" w:val="clear"/>
          <w:lang w:val="vi-VN"/>
        </w:rPr>
        <w:t>- Cân nhắc  ngừng thuốc vĩnh viễn đối với trường hợp hạ phosphat máu nghiêm trọng hoặc hạ phosphat máu kéo dài.</w:t>
      </w:r>
    </w:p>
    <w:p>
      <w:pPr>
        <w:pStyle w:val="BodyText"/>
        <w:widowControl/>
        <w:spacing w:lineRule="auto" w:line="240" w:before="0" w:after="0"/>
        <w:ind w:hanging="0" w:left="0" w:right="0"/>
        <w:jc w:val="right"/>
        <w:rPr>
          <w:rFonts w:ascii="Times New Roman" w:hAnsi="Times New Roman" w:cs="Times New Roman"/>
          <w:b/>
          <w:color w:val="414141"/>
          <w:sz w:val="28"/>
          <w:szCs w:val="28"/>
          <w:lang w:val="vi-VN"/>
        </w:rPr>
      </w:pPr>
      <w:r>
        <w:rPr>
          <w:rFonts w:cs="Times New Roman" w:ascii="arial;helvetica;sans-serif" w:hAnsi="arial;helvetica;sans-serif"/>
          <w:b w:val="false"/>
          <w:i w:val="false"/>
          <w:caps w:val="false"/>
          <w:smallCaps w:val="false"/>
          <w:color w:val="414141"/>
          <w:spacing w:val="0"/>
          <w:sz w:val="21"/>
          <w:szCs w:val="28"/>
          <w:lang w:val="vi-VN"/>
        </w:rPr>
        <w:t>Nguồn:  </w:t>
      </w:r>
      <w:hyperlink r:id="rId7">
        <w:r>
          <w:rPr>
            <w:rStyle w:val="Hyperlink"/>
            <w:rFonts w:cs="Times New Roman" w:ascii="arial;helvetica;sans-serif" w:hAnsi="arial;helvetica;sans-serif"/>
            <w:b w:val="false"/>
            <w:i w:val="false"/>
            <w:caps w:val="false"/>
            <w:smallCaps w:val="false"/>
            <w:strike w:val="false"/>
            <w:dstrike w:val="false"/>
            <w:color w:val="414141"/>
            <w:spacing w:val="0"/>
            <w:sz w:val="21"/>
            <w:szCs w:val="28"/>
            <w:u w:val="none"/>
            <w:effect w:val="none"/>
            <w:lang w:val="vi-VN"/>
          </w:rPr>
          <w:t>https://www.fda.gov/drugs/drug-safety-communications/fda-adds-boxed-warning-labeling-ferric-carboxymaltose-injection-injectafer-describe-risk-low</w:t>
        </w:r>
      </w:hyperlink>
      <w:r>
        <w:rPr>
          <w:rFonts w:cs="Times New Roman" w:ascii="arial;helvetica;sans-serif" w:hAnsi="arial;helvetica;sans-serif"/>
          <w:b w:val="false"/>
          <w:i w:val="false"/>
          <w:caps w:val="false"/>
          <w:smallCaps w:val="false"/>
          <w:color w:val="414141"/>
          <w:spacing w:val="0"/>
          <w:sz w:val="21"/>
          <w:szCs w:val="28"/>
          <w:lang w:val="vi-VN"/>
        </w:rPr>
        <w:t>;  </w:t>
      </w:r>
      <w:hyperlink r:id="rId8">
        <w:r>
          <w:rPr>
            <w:rStyle w:val="Hyperlink"/>
            <w:rFonts w:cs="Times New Roman" w:ascii="arial;helvetica;sans-serif" w:hAnsi="arial;helvetica;sans-serif"/>
            <w:b w:val="false"/>
            <w:i w:val="false"/>
            <w:caps w:val="false"/>
            <w:smallCaps w:val="false"/>
            <w:strike w:val="false"/>
            <w:dstrike w:val="false"/>
            <w:color w:val="414141"/>
            <w:spacing w:val="0"/>
            <w:sz w:val="21"/>
            <w:szCs w:val="28"/>
            <w:u w:val="none"/>
            <w:effect w:val="none"/>
            <w:lang w:val="vi-VN"/>
          </w:rPr>
          <w:t>https://www.ema.europa.eu/en/news/meeting-highlights-pharmacovigilance-risk-assessment-committee-prac-31-august-3-september-2026</w:t>
        </w:r>
      </w:hyperlink>
    </w:p>
    <w:p>
      <w:pPr>
        <w:sectPr>
          <w:type w:val="continuous"/>
          <w:pgSz w:w="12240" w:h="15840"/>
          <w:pgMar w:left="1134" w:right="1134" w:gutter="0" w:header="0" w:top="1134" w:footer="720" w:bottom="1134"/>
          <w:formProt w:val="false"/>
          <w:textDirection w:val="lrTb"/>
          <w:docGrid w:type="default" w:linePitch="360" w:charSpace="0"/>
        </w:sectPr>
      </w:pPr>
    </w:p>
    <w:p>
      <w:pPr>
        <w:pStyle w:val="Normal"/>
        <w:spacing w:lineRule="auto" w:line="240" w:before="0" w:after="0"/>
        <w:rPr>
          <w:rFonts w:ascii="Times New Roman" w:hAnsi="Times New Roman"/>
          <w:sz w:val="28"/>
          <w:szCs w:val="28"/>
        </w:rPr>
      </w:pPr>
      <w:r>
        <w:rPr>
          <w:rFonts w:cs="Times New Roman" w:ascii="Times New Roman" w:hAnsi="Times New Roman"/>
          <w:b/>
          <w:i w:val="false"/>
          <w:caps w:val="false"/>
          <w:smallCaps w:val="false"/>
          <w:strike w:val="false"/>
          <w:dstrike w:val="false"/>
          <w:color w:val="414141"/>
          <w:spacing w:val="0"/>
          <w:sz w:val="28"/>
          <w:szCs w:val="28"/>
          <w:u w:val="none"/>
          <w:effect w:val="none"/>
          <w:shd w:fill="auto" w:val="clear"/>
          <w:lang w:val="vi-VN"/>
        </w:rPr>
      </w:r>
    </w:p>
    <w:p>
      <w:pPr>
        <w:pStyle w:val="Normal"/>
        <w:spacing w:lineRule="auto" w:line="240" w:before="0" w:after="0"/>
        <w:rPr>
          <w:rFonts w:ascii="Times New Roman" w:hAnsi="Times New Roman"/>
          <w:sz w:val="28"/>
          <w:szCs w:val="28"/>
        </w:rPr>
      </w:pPr>
      <w:r>
        <w:rPr>
          <w:rFonts w:cs="Times New Roman" w:ascii="Times New Roman" w:hAnsi="Times New Roman"/>
          <w:b/>
          <w:i w:val="false"/>
          <w:caps w:val="false"/>
          <w:smallCaps w:val="false"/>
          <w:strike w:val="false"/>
          <w:dstrike w:val="false"/>
          <w:color w:val="414141"/>
          <w:spacing w:val="0"/>
          <w:sz w:val="28"/>
          <w:szCs w:val="28"/>
          <w:u w:val="none"/>
          <w:effect w:val="none"/>
          <w:shd w:fill="auto" w:val="clear"/>
          <w:lang w:val="vi-VN"/>
        </w:rPr>
        <w:tab/>
        <w:tab/>
        <w:tab/>
        <w:tab/>
        <w:tab/>
        <w:tab/>
        <w:tab/>
        <w:tab/>
        <w:t>ĐƠN VỊ THÔNG TIN THUỐC</w:t>
      </w:r>
    </w:p>
    <w:p>
      <w:pPr>
        <w:pStyle w:val="Normal"/>
        <w:spacing w:lineRule="auto" w:line="240" w:before="0" w:after="0"/>
        <w:rPr>
          <w:rFonts w:ascii="Times New Roman" w:hAnsi="Times New Roman"/>
          <w:sz w:val="28"/>
          <w:szCs w:val="28"/>
        </w:rPr>
      </w:pPr>
      <w:r>
        <w:rPr>
          <w:rFonts w:cs="Times New Roman" w:ascii="Times New Roman" w:hAnsi="Times New Roman"/>
          <w:b/>
          <w:i w:val="false"/>
          <w:caps w:val="false"/>
          <w:smallCaps w:val="false"/>
          <w:strike w:val="false"/>
          <w:dstrike w:val="false"/>
          <w:color w:val="414141"/>
          <w:spacing w:val="0"/>
          <w:sz w:val="28"/>
          <w:szCs w:val="28"/>
          <w:u w:val="none"/>
          <w:effect w:val="none"/>
          <w:shd w:fill="auto" w:val="clear"/>
          <w:lang w:val="vi-VN"/>
        </w:rPr>
      </w:r>
    </w:p>
    <w:p>
      <w:pPr>
        <w:pStyle w:val="Normal"/>
        <w:spacing w:lineRule="auto" w:line="240" w:before="0" w:after="0"/>
        <w:rPr>
          <w:rFonts w:ascii="Times New Roman" w:hAnsi="Times New Roman"/>
          <w:sz w:val="28"/>
          <w:szCs w:val="28"/>
        </w:rPr>
      </w:pPr>
      <w:r>
        <w:rPr>
          <w:rFonts w:cs="Times New Roman" w:ascii="Times New Roman" w:hAnsi="Times New Roman"/>
          <w:b w:val="false"/>
          <w:i w:val="false"/>
          <w:caps w:val="false"/>
          <w:smallCaps w:val="false"/>
          <w:color w:val="073763"/>
          <w:spacing w:val="0"/>
          <w:sz w:val="28"/>
          <w:szCs w:val="28"/>
        </w:rPr>
      </w:r>
      <w:bookmarkStart w:id="8" w:name="_GoBack"/>
      <w:bookmarkEnd w:id="8"/>
    </w:p>
    <w:sectPr>
      <w:type w:val="continuous"/>
      <w:pgSz w:w="12240" w:h="15840"/>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swiss"/>
    <w:pitch w:val="variable"/>
  </w:font>
  <w:font w:name="OpenSymbol">
    <w:altName w:val="Arial Unicode MS"/>
    <w:charset w:val="02"/>
    <w:family w:val="roman"/>
    <w:pitch w:val="variable"/>
  </w:font>
  <w:font w:name="Liberation Sans">
    <w:altName w:val="Arial"/>
    <w:charset w:val="00"/>
    <w:family w:val="swiss"/>
    <w:pitch w:val="variable"/>
  </w:font>
  <w:font w:name="Times New Roman">
    <w:charset w:val="01"/>
    <w:family w:val="roman"/>
    <w:pitch w:val="variable"/>
  </w:font>
  <w:font w:name="arial">
    <w:altName w:val="helvetica"/>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4862223"/>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6</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4862223"/>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6</w:t>
        </w:r>
        <w:r>
          <w:rPr/>
          <w:fldChar w:fldCharType="end"/>
        </w:r>
      </w:p>
    </w:sdtContent>
  </w:sdt>
  <w:p>
    <w:pPr>
      <w:pStyle w:val="Footer"/>
      <w:rPr/>
    </w:pPr>
    <w:r>
      <w:rPr/>
    </w:r>
  </w:p>
</w:ftr>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43d4f"/>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d66f52"/>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725083"/>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semiHidden/>
    <w:unhideWhenUsed/>
    <w:qFormat/>
    <w:rsid w:val="0076029d"/>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76029d"/>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qFormat/>
    <w:rsid w:val="008b3222"/>
    <w:pPr>
      <w:keepNext w:val="true"/>
      <w:spacing w:lineRule="auto" w:line="240" w:before="0" w:after="0"/>
      <w:ind w:right="22"/>
      <w:outlineLvl w:val="4"/>
    </w:pPr>
    <w:rPr>
      <w:rFonts w:ascii="Times New Roman" w:hAnsi="Times New Roman" w:eastAsia="Times New Roman" w:cs="Times New Roman"/>
      <w:sz w:val="28"/>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4e12ff"/>
    <w:rPr>
      <w:color w:val="0000FF"/>
      <w:u w:val="single"/>
    </w:rPr>
  </w:style>
  <w:style w:type="character" w:styleId="Strong">
    <w:name w:val="Strong"/>
    <w:basedOn w:val="DefaultParagraphFont"/>
    <w:uiPriority w:val="22"/>
    <w:qFormat/>
    <w:rsid w:val="00a033e8"/>
    <w:rPr>
      <w:b/>
      <w:bCs/>
    </w:rPr>
  </w:style>
  <w:style w:type="character" w:styleId="Emphasis">
    <w:name w:val="Emphasis"/>
    <w:basedOn w:val="DefaultParagraphFont"/>
    <w:uiPriority w:val="20"/>
    <w:qFormat/>
    <w:rsid w:val="00a033e8"/>
    <w:rPr>
      <w:i/>
      <w:iCs/>
    </w:rPr>
  </w:style>
  <w:style w:type="character" w:styleId="Heading5Char" w:customStyle="1">
    <w:name w:val="Heading 5 Char"/>
    <w:basedOn w:val="DefaultParagraphFont"/>
    <w:link w:val="Heading5"/>
    <w:qFormat/>
    <w:rsid w:val="008b3222"/>
    <w:rPr>
      <w:rFonts w:ascii="Times New Roman" w:hAnsi="Times New Roman" w:eastAsia="Times New Roman" w:cs="Times New Roman"/>
      <w:sz w:val="28"/>
      <w:szCs w:val="20"/>
    </w:rPr>
  </w:style>
  <w:style w:type="character" w:styleId="Heading2Char" w:customStyle="1">
    <w:name w:val="Heading 2 Char"/>
    <w:basedOn w:val="DefaultParagraphFont"/>
    <w:link w:val="Heading2"/>
    <w:uiPriority w:val="9"/>
    <w:qFormat/>
    <w:rsid w:val="00725083"/>
    <w:rPr>
      <w:rFonts w:ascii="Cambria" w:hAnsi="Cambria" w:eastAsia="" w:cs="" w:asciiTheme="majorHAnsi" w:cstheme="majorBidi" w:eastAsiaTheme="majorEastAsia" w:hAnsiTheme="majorHAnsi"/>
      <w:b/>
      <w:bCs/>
      <w:color w:themeColor="accent1" w:val="4F81BD"/>
      <w:sz w:val="26"/>
      <w:szCs w:val="26"/>
    </w:rPr>
  </w:style>
  <w:style w:type="character" w:styleId="BalloonTextChar" w:customStyle="1">
    <w:name w:val="Balloon Text Char"/>
    <w:basedOn w:val="DefaultParagraphFont"/>
    <w:link w:val="BalloonText"/>
    <w:uiPriority w:val="99"/>
    <w:semiHidden/>
    <w:qFormat/>
    <w:rsid w:val="00725083"/>
    <w:rPr>
      <w:rFonts w:ascii="Tahoma" w:hAnsi="Tahoma" w:cs="Tahoma"/>
      <w:sz w:val="16"/>
      <w:szCs w:val="16"/>
    </w:rPr>
  </w:style>
  <w:style w:type="character" w:styleId="HeaderChar" w:customStyle="1">
    <w:name w:val="Header Char"/>
    <w:basedOn w:val="DefaultParagraphFont"/>
    <w:link w:val="Header"/>
    <w:uiPriority w:val="99"/>
    <w:qFormat/>
    <w:rsid w:val="006645ab"/>
    <w:rPr/>
  </w:style>
  <w:style w:type="character" w:styleId="FooterChar" w:customStyle="1">
    <w:name w:val="Footer Char"/>
    <w:basedOn w:val="DefaultParagraphFont"/>
    <w:link w:val="Footer"/>
    <w:uiPriority w:val="99"/>
    <w:qFormat/>
    <w:rsid w:val="006645ab"/>
    <w:rPr/>
  </w:style>
  <w:style w:type="character" w:styleId="Heading1Char" w:customStyle="1">
    <w:name w:val="Heading 1 Char"/>
    <w:basedOn w:val="DefaultParagraphFont"/>
    <w:link w:val="Heading1"/>
    <w:uiPriority w:val="9"/>
    <w:qFormat/>
    <w:rsid w:val="00d66f52"/>
    <w:rPr>
      <w:rFonts w:ascii="Cambria" w:hAnsi="Cambria" w:eastAsia="" w:cs="" w:asciiTheme="majorHAnsi" w:cstheme="majorBidi" w:eastAsiaTheme="majorEastAsia" w:hAnsiTheme="majorHAnsi"/>
      <w:b/>
      <w:bCs/>
      <w:color w:themeColor="accent1" w:themeShade="bf" w:val="365F91"/>
      <w:sz w:val="28"/>
      <w:szCs w:val="28"/>
    </w:rPr>
  </w:style>
  <w:style w:type="character" w:styleId="theauthor" w:customStyle="1">
    <w:name w:val="theauthor"/>
    <w:basedOn w:val="DefaultParagraphFont"/>
    <w:qFormat/>
    <w:rsid w:val="00d66f52"/>
    <w:rPr/>
  </w:style>
  <w:style w:type="character" w:styleId="featured-cat" w:customStyle="1">
    <w:name w:val="featured-cat"/>
    <w:basedOn w:val="DefaultParagraphFont"/>
    <w:qFormat/>
    <w:rsid w:val="00d66f52"/>
    <w:rPr/>
  </w:style>
  <w:style w:type="character" w:styleId="thecomment" w:customStyle="1">
    <w:name w:val="thecomment"/>
    <w:basedOn w:val="DefaultParagraphFont"/>
    <w:qFormat/>
    <w:rsid w:val="00d66f52"/>
    <w:rPr/>
  </w:style>
  <w:style w:type="character" w:styleId="Heading3Char" w:customStyle="1">
    <w:name w:val="Heading 3 Char"/>
    <w:basedOn w:val="DefaultParagraphFont"/>
    <w:link w:val="Heading3"/>
    <w:uiPriority w:val="9"/>
    <w:semiHidden/>
    <w:qFormat/>
    <w:rsid w:val="0076029d"/>
    <w:rPr>
      <w:rFonts w:ascii="Cambria" w:hAnsi="Cambria" w:eastAsia="" w:cs="" w:asciiTheme="majorHAnsi" w:cstheme="majorBidi" w:eastAsiaTheme="majorEastAsia" w:hAnsiTheme="majorHAnsi"/>
      <w:b/>
      <w:bCs/>
      <w:color w:themeColor="accent1" w:val="4F81BD"/>
    </w:rPr>
  </w:style>
  <w:style w:type="character" w:styleId="Heading4Char" w:customStyle="1">
    <w:name w:val="Heading 4 Char"/>
    <w:basedOn w:val="DefaultParagraphFont"/>
    <w:link w:val="Heading4"/>
    <w:uiPriority w:val="9"/>
    <w:semiHidden/>
    <w:qFormat/>
    <w:rsid w:val="0076029d"/>
    <w:rPr>
      <w:rFonts w:ascii="Cambria" w:hAnsi="Cambria" w:eastAsia="" w:cs="" w:asciiTheme="majorHAnsi" w:cstheme="majorBidi" w:eastAsiaTheme="majorEastAsia" w:hAnsiTheme="majorHAnsi"/>
      <w:b/>
      <w:bCs/>
      <w:i/>
      <w:iCs/>
      <w:color w:themeColor="accent1" w:val="4F81BD"/>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unhideWhenUsed/>
    <w:qFormat/>
    <w:rsid w:val="004e12ff"/>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qFormat/>
    <w:rsid w:val="00725083"/>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6645ab"/>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6645ab"/>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891971"/>
    <w:pPr>
      <w:spacing w:before="0" w:after="200"/>
      <w:ind w:left="72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hyperlink" Target="https://www.medsafe.govt.nz/profs/PUArticles/September2026/Rosuvastatin-dose-considerations.html" TargetMode="External"/><Relationship Id="rId6" Type="http://schemas.openxmlformats.org/officeDocument/2006/relationships/hyperlink" Target="https://www.medsafe.govt.nz/profs/PUArticles/September2026/Prednisone-induced-thyrotoxic-periodic-paralysis.html" TargetMode="External"/><Relationship Id="rId7" Type="http://schemas.openxmlformats.org/officeDocument/2006/relationships/hyperlink" Target="https://www.fda.gov/drugs/drug-safety-communications/fda-adds-boxed-warning-labeling-ferric-carboxymaltose-injection-injectafer-describe-risk-low" TargetMode="External"/><Relationship Id="rId8" Type="http://schemas.openxmlformats.org/officeDocument/2006/relationships/hyperlink" Target="https://www.ema.europa.eu/en/news/meeting-highlights-pharmacovigilance-risk-assessment-committee-prac-31-august-3-september-2026"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1896</TotalTime>
  <Application>LibreOffice/26.2.6.3$Windows_X86_64 LibreOffice_project/8221e31b3ac356a1623c672912a3d2b492f7e3d1</Application>
  <AppVersion>15.0000</AppVersion>
  <Pages>6</Pages>
  <Words>2159</Words>
  <Characters>8740</Characters>
  <CharactersWithSpaces>10915</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2024-09-25T08:15:00Z</dcterms:created>
  <dc:creator>DUOC_CHITHO</dc:creator>
  <dc:description/>
  <dc:language>en-US</dc:language>
  <cp:lastModifiedBy/>
  <cp:lastPrinted>2026-09-28T10:07:07Z</cp:lastPrinted>
  <dcterms:modified xsi:type="dcterms:W3CDTF">2026-09-28T10:00:37Z</dcterms:modified>
  <cp:revision>593</cp:revision>
  <dc:subject/>
  <dc:title/>
</cp:coreProperties>
</file>

<file path=docProps/custom.xml><?xml version="1.0" encoding="utf-8"?>
<Properties xmlns="http://schemas.openxmlformats.org/officeDocument/2006/custom-properties" xmlns:vt="http://schemas.openxmlformats.org/officeDocument/2006/docPropsVTypes"/>
</file>