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6" w:type="dxa"/>
        <w:tblLook w:val="04A0"/>
      </w:tblPr>
      <w:tblGrid>
        <w:gridCol w:w="4503"/>
        <w:gridCol w:w="5953"/>
      </w:tblGrid>
      <w:tr w:rsidR="00F51A86" w:rsidRPr="008E0758" w:rsidTr="00725D86">
        <w:trPr>
          <w:trHeight w:val="841"/>
        </w:trPr>
        <w:tc>
          <w:tcPr>
            <w:tcW w:w="4503" w:type="dxa"/>
            <w:shd w:val="clear" w:color="auto" w:fill="auto"/>
          </w:tcPr>
          <w:p w:rsidR="008B3222" w:rsidRPr="008E0758" w:rsidRDefault="008B3222" w:rsidP="00913253">
            <w:pPr>
              <w:pStyle w:val="Heading5"/>
              <w:tabs>
                <w:tab w:val="center" w:pos="1680"/>
                <w:tab w:val="center" w:pos="6240"/>
              </w:tabs>
              <w:jc w:val="both"/>
              <w:rPr>
                <w:szCs w:val="28"/>
              </w:rPr>
            </w:pPr>
            <w:bookmarkStart w:id="0" w:name="_GoBack"/>
            <w:r w:rsidRPr="008E0758">
              <w:rPr>
                <w:szCs w:val="28"/>
              </w:rPr>
              <w:t>HỘI ĐỒNG THUỐC VÀ ĐIỀU TRỊ</w:t>
            </w:r>
          </w:p>
          <w:p w:rsidR="008B3222" w:rsidRPr="008E0758" w:rsidRDefault="00B43D4F" w:rsidP="00913253">
            <w:pPr>
              <w:spacing w:after="0" w:line="240" w:lineRule="auto"/>
              <w:jc w:val="both"/>
              <w:rPr>
                <w:rFonts w:ascii="Times New Roman" w:hAnsi="Times New Roman" w:cs="Times New Roman"/>
                <w:b/>
                <w:sz w:val="28"/>
                <w:szCs w:val="28"/>
              </w:rPr>
            </w:pPr>
            <w:r w:rsidRPr="00B43D4F">
              <w:rPr>
                <w:rFonts w:ascii="Times New Roman" w:hAnsi="Times New Roman" w:cs="Times New Roman"/>
                <w:noProof/>
                <w:spacing w:val="-10"/>
                <w:sz w:val="28"/>
                <w:szCs w:val="28"/>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58.95pt;margin-top:28.45pt;width:61.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w:r>
            <w:r w:rsidR="008B3222" w:rsidRPr="008E0758">
              <w:rPr>
                <w:rFonts w:ascii="Times New Roman" w:hAnsi="Times New Roman" w:cs="Times New Roman"/>
                <w:b/>
                <w:spacing w:val="-10"/>
                <w:sz w:val="28"/>
                <w:szCs w:val="28"/>
                <w:lang w:val="vi-VN"/>
              </w:rPr>
              <w:t xml:space="preserve">ĐƠN VỊ </w:t>
            </w:r>
            <w:r w:rsidR="008B3222" w:rsidRPr="008E0758">
              <w:rPr>
                <w:rFonts w:ascii="Times New Roman" w:hAnsi="Times New Roman" w:cs="Times New Roman"/>
                <w:b/>
                <w:spacing w:val="-10"/>
                <w:sz w:val="28"/>
                <w:szCs w:val="28"/>
              </w:rPr>
              <w:t>THÔNG TIN THUỐC</w:t>
            </w:r>
            <w:r w:rsidR="00E8207C">
              <w:rPr>
                <w:rFonts w:ascii="Times New Roman" w:hAnsi="Times New Roman" w:cs="Times New Roman"/>
                <w:b/>
                <w:spacing w:val="-10"/>
                <w:sz w:val="28"/>
                <w:szCs w:val="28"/>
              </w:rPr>
              <w:t xml:space="preserve">  </w:t>
            </w:r>
          </w:p>
        </w:tc>
        <w:tc>
          <w:tcPr>
            <w:tcW w:w="5953" w:type="dxa"/>
            <w:shd w:val="clear" w:color="auto" w:fill="auto"/>
          </w:tcPr>
          <w:p w:rsidR="008B3222" w:rsidRPr="008E0758" w:rsidRDefault="008B3222" w:rsidP="00913253">
            <w:pPr>
              <w:pStyle w:val="Heading5"/>
              <w:tabs>
                <w:tab w:val="center" w:pos="1680"/>
                <w:tab w:val="center" w:pos="6240"/>
              </w:tabs>
              <w:jc w:val="both"/>
              <w:rPr>
                <w:b/>
                <w:spacing w:val="-10"/>
                <w:szCs w:val="28"/>
              </w:rPr>
            </w:pPr>
            <w:r w:rsidRPr="008E0758">
              <w:rPr>
                <w:b/>
                <w:spacing w:val="-10"/>
                <w:szCs w:val="28"/>
              </w:rPr>
              <w:t>CỘNG HÒA XÃ HỘI CHỦ NGHĨA VIỆT NAM</w:t>
            </w:r>
          </w:p>
          <w:p w:rsidR="008B3222" w:rsidRDefault="00E8207C" w:rsidP="00913253">
            <w:pPr>
              <w:pStyle w:val="Heading5"/>
              <w:tabs>
                <w:tab w:val="center" w:pos="1680"/>
                <w:tab w:val="center" w:pos="6240"/>
              </w:tabs>
              <w:jc w:val="both"/>
              <w:rPr>
                <w:b/>
                <w:spacing w:val="-10"/>
                <w:szCs w:val="28"/>
              </w:rPr>
            </w:pPr>
            <w:r>
              <w:rPr>
                <w:b/>
                <w:spacing w:val="-10"/>
                <w:szCs w:val="28"/>
              </w:rPr>
              <w:t xml:space="preserve">                 </w:t>
            </w:r>
            <w:r w:rsidR="008B3222" w:rsidRPr="008E0758">
              <w:rPr>
                <w:b/>
                <w:spacing w:val="-10"/>
                <w:szCs w:val="28"/>
              </w:rPr>
              <w:t>Độc lập - Tự do - Hạnh phúc</w:t>
            </w:r>
          </w:p>
          <w:p w:rsidR="00E8207C" w:rsidRPr="00E8207C" w:rsidRDefault="00E8207C" w:rsidP="00E8207C">
            <w:r>
              <w:rPr>
                <w:b/>
                <w:noProof/>
                <w:spacing w:val="-10"/>
                <w:szCs w:val="28"/>
              </w:rPr>
              <w:pict>
                <v:shape id="Straight Arrow Connector 1" o:spid="_x0000_s1027" type="#_x0000_t32" style="position:absolute;margin-left:55.25pt;margin-top:12.35pt;width:158.2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w:r>
          </w:p>
        </w:tc>
      </w:tr>
      <w:tr w:rsidR="00F51A86" w:rsidRPr="008E0758" w:rsidTr="00725D86">
        <w:tc>
          <w:tcPr>
            <w:tcW w:w="4503" w:type="dxa"/>
            <w:shd w:val="clear" w:color="auto" w:fill="auto"/>
          </w:tcPr>
          <w:p w:rsidR="00E8207C" w:rsidRPr="008E0758" w:rsidRDefault="00E8207C" w:rsidP="00913253">
            <w:pPr>
              <w:spacing w:after="0" w:line="240" w:lineRule="auto"/>
              <w:jc w:val="both"/>
              <w:rPr>
                <w:rFonts w:ascii="Times New Roman" w:hAnsi="Times New Roman" w:cs="Times New Roman"/>
                <w:sz w:val="28"/>
                <w:szCs w:val="28"/>
              </w:rPr>
            </w:pPr>
          </w:p>
        </w:tc>
        <w:tc>
          <w:tcPr>
            <w:tcW w:w="5953" w:type="dxa"/>
            <w:shd w:val="clear" w:color="auto" w:fill="auto"/>
          </w:tcPr>
          <w:p w:rsidR="008B3222" w:rsidRPr="008E0758" w:rsidRDefault="008B3222" w:rsidP="00913253">
            <w:pPr>
              <w:pStyle w:val="Heading5"/>
              <w:tabs>
                <w:tab w:val="center" w:pos="1680"/>
                <w:tab w:val="center" w:pos="6240"/>
              </w:tabs>
              <w:jc w:val="both"/>
              <w:rPr>
                <w:spacing w:val="-10"/>
                <w:szCs w:val="28"/>
              </w:rPr>
            </w:pPr>
          </w:p>
        </w:tc>
      </w:tr>
    </w:tbl>
    <w:p w:rsidR="003A3131" w:rsidRDefault="003A15F4" w:rsidP="0091325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B3222" w:rsidRPr="008E0758">
        <w:rPr>
          <w:rFonts w:ascii="Times New Roman" w:hAnsi="Times New Roman" w:cs="Times New Roman"/>
          <w:b/>
          <w:sz w:val="28"/>
          <w:szCs w:val="28"/>
          <w:lang w:val="vi-VN"/>
        </w:rPr>
        <w:t xml:space="preserve">BẢNG TIN </w:t>
      </w:r>
      <w:r w:rsidR="008B3222" w:rsidRPr="008E0758">
        <w:rPr>
          <w:rFonts w:ascii="Times New Roman" w:hAnsi="Times New Roman" w:cs="Times New Roman"/>
          <w:b/>
          <w:sz w:val="28"/>
          <w:szCs w:val="28"/>
        </w:rPr>
        <w:t xml:space="preserve">THÔNG TIN THUỐC THÁNG </w:t>
      </w:r>
      <w:r w:rsidR="00253AA9" w:rsidRPr="008E0758">
        <w:rPr>
          <w:rFonts w:ascii="Times New Roman" w:hAnsi="Times New Roman" w:cs="Times New Roman"/>
          <w:b/>
          <w:sz w:val="28"/>
          <w:szCs w:val="28"/>
        </w:rPr>
        <w:t>0</w:t>
      </w:r>
      <w:r w:rsidR="00E8207C">
        <w:rPr>
          <w:rFonts w:ascii="Times New Roman" w:hAnsi="Times New Roman" w:cs="Times New Roman"/>
          <w:b/>
          <w:sz w:val="28"/>
          <w:szCs w:val="28"/>
        </w:rPr>
        <w:t>6</w:t>
      </w:r>
      <w:r w:rsidR="008B3222" w:rsidRPr="008E0758">
        <w:rPr>
          <w:rFonts w:ascii="Times New Roman" w:hAnsi="Times New Roman" w:cs="Times New Roman"/>
          <w:b/>
          <w:sz w:val="28"/>
          <w:szCs w:val="28"/>
        </w:rPr>
        <w:t>/202</w:t>
      </w:r>
      <w:r w:rsidR="00253AA9" w:rsidRPr="008E0758">
        <w:rPr>
          <w:rFonts w:ascii="Times New Roman" w:hAnsi="Times New Roman" w:cs="Times New Roman"/>
          <w:b/>
          <w:sz w:val="28"/>
          <w:szCs w:val="28"/>
        </w:rPr>
        <w:t>6</w:t>
      </w:r>
    </w:p>
    <w:p w:rsidR="00E8207C" w:rsidRDefault="00E8207C" w:rsidP="00913253">
      <w:pPr>
        <w:spacing w:after="0" w:line="240" w:lineRule="auto"/>
        <w:jc w:val="both"/>
        <w:rPr>
          <w:rFonts w:ascii="Times New Roman" w:hAnsi="Times New Roman" w:cs="Times New Roman"/>
          <w:b/>
          <w:sz w:val="28"/>
          <w:szCs w:val="28"/>
        </w:rPr>
      </w:pPr>
    </w:p>
    <w:p w:rsidR="003A15F4" w:rsidRPr="00BF68F8" w:rsidRDefault="009D541F" w:rsidP="003A15F4">
      <w:pPr>
        <w:spacing w:after="0" w:line="240" w:lineRule="auto"/>
        <w:rPr>
          <w:rFonts w:ascii="Times New Roman" w:hAnsi="Times New Roman" w:cs="Times New Roman"/>
          <w:b/>
          <w:bCs/>
          <w:color w:val="FF0000"/>
          <w:sz w:val="28"/>
          <w:szCs w:val="28"/>
        </w:rPr>
      </w:pPr>
      <w:r w:rsidRPr="00BF68F8">
        <w:rPr>
          <w:rFonts w:ascii="Times New Roman" w:hAnsi="Times New Roman" w:cs="Times New Roman"/>
          <w:b/>
          <w:bCs/>
          <w:color w:val="FF0000"/>
          <w:sz w:val="28"/>
          <w:szCs w:val="28"/>
          <w:highlight w:val="yellow"/>
        </w:rPr>
        <w:t xml:space="preserve">I. </w:t>
      </w:r>
      <w:r w:rsidR="003A15F4" w:rsidRPr="00BF68F8">
        <w:rPr>
          <w:rFonts w:ascii="Times New Roman" w:hAnsi="Times New Roman" w:cs="Times New Roman"/>
          <w:b/>
          <w:bCs/>
          <w:color w:val="FF0000"/>
          <w:sz w:val="28"/>
          <w:szCs w:val="28"/>
          <w:highlight w:val="yellow"/>
        </w:rPr>
        <w:t>Medsafe: Cảnh báo về nguy cơ Hội chứng kháng insulin tự miễn do thuốc</w:t>
      </w:r>
    </w:p>
    <w:p w:rsidR="003A15F4" w:rsidRPr="00BF68F8" w:rsidRDefault="003A15F4" w:rsidP="003A15F4">
      <w:pPr>
        <w:spacing w:after="0" w:line="240" w:lineRule="auto"/>
        <w:rPr>
          <w:rFonts w:ascii="Times New Roman" w:hAnsi="Times New Roman" w:cs="Times New Roman"/>
          <w:b/>
          <w:bCs/>
          <w:color w:val="006666"/>
          <w:sz w:val="28"/>
          <w:szCs w:val="28"/>
        </w:rPr>
      </w:pPr>
      <w:r w:rsidRPr="00BF68F8">
        <w:rPr>
          <w:rStyle w:val="Strong"/>
          <w:rFonts w:ascii="Times New Roman" w:hAnsi="Times New Roman" w:cs="Times New Roman"/>
          <w:color w:val="696969"/>
          <w:sz w:val="28"/>
          <w:szCs w:val="28"/>
        </w:rPr>
        <w:t>Hội chứng kháng insulin tự miễn (IAS)</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Hội chứng kháng insulin tự miễn (Insulin Autoimmune Syndrome - IAS) là một tình trạng hiếm gặp, đặc trưng bởi các đợt hạ đường huyết tái diễn nhiều lần do nồng độ insulin trong máu tăng cao và sự hiện diện các tự kháng thể kháng insulin. Khác với các tình trạng hạ đường huyết khác, IAS xảy ra khi bệnh nhân không sử dụng insulin ngoại sinh trước đó. </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Các yếu tố khởi phát tình trạng IAS bao gồm: thuốc, vi rút (ví dụ: sở, quai bị, rubella, thuỷ đậu) và các bệnh lý huyết học (ví dụ: đa u tuỷ xương).</w:t>
      </w:r>
    </w:p>
    <w:p w:rsidR="003A15F4" w:rsidRPr="00BF68F8" w:rsidRDefault="003A15F4" w:rsidP="003A15F4">
      <w:pPr>
        <w:pStyle w:val="NormalWeb"/>
        <w:spacing w:before="0" w:beforeAutospacing="0" w:after="0" w:afterAutospacing="0"/>
        <w:jc w:val="both"/>
        <w:rPr>
          <w:color w:val="414141"/>
          <w:sz w:val="28"/>
          <w:szCs w:val="28"/>
        </w:rPr>
      </w:pPr>
      <w:r w:rsidRPr="00BF68F8">
        <w:rPr>
          <w:b/>
          <w:bCs/>
          <w:color w:val="696969"/>
          <w:sz w:val="28"/>
          <w:szCs w:val="28"/>
        </w:rPr>
        <w:t>Cơ chế bệnh sinh</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Trong điều kiện sinh lý bình thường, tuyến tụy sẽ tiết insulin để đáp ứng với tình trạng tăng đường huyết sau ăn. Insulin thúc đẩy tế bào hấp thu glucose, giúp đường huyết trở về mức bình thường.</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Ở bệnh nhân IAS, các tự kháng thể kháng insulin xuất hiện và phá vỡ chu trình này bằng cách gắn kết với insulin tạo phức hợp miễn dịch. Do khả năng gắn kết cao, mỗi tự kháng thể có thể liên kết đồng thời với nhiều phân tử insulin để tạo thành các phức hợp đại phân tử, khiến insulin bị bất hoạt và mất khả năng hạ đường huyết. </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Tuy nhiên ái lực giữa các tự kháng thể đối với insulin thấp, do đó, các phức hợp được tạo ra không bền vững. Điều này có nghĩa insulin không bị gắn chặt với kháng thể và có thể đột ngột phân ly khỏi phức hợp với kháng thể. Hậu quả làm tăng nồng độ insulin tự do trong tuần hoàn, dẫn đến các đợt hạ đường huyết tái phát. </w:t>
      </w:r>
    </w:p>
    <w:p w:rsidR="003A15F4" w:rsidRPr="00BF68F8" w:rsidRDefault="003A15F4" w:rsidP="003A15F4">
      <w:pPr>
        <w:pStyle w:val="NormalWeb"/>
        <w:spacing w:before="0" w:beforeAutospacing="0" w:after="0" w:afterAutospacing="0"/>
        <w:jc w:val="both"/>
        <w:rPr>
          <w:color w:val="414141"/>
          <w:sz w:val="28"/>
          <w:szCs w:val="28"/>
        </w:rPr>
      </w:pPr>
      <w:r w:rsidRPr="00BF68F8">
        <w:rPr>
          <w:b/>
          <w:bCs/>
          <w:color w:val="696969"/>
          <w:sz w:val="28"/>
          <w:szCs w:val="28"/>
        </w:rPr>
        <w:t>Yếu tố di truyền</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 xml:space="preserve">Về mặt di truyền, các biến thể trong hệ thống gen kháng nguyên bạch cầu người (HLA), đặc biệt là alen </w:t>
      </w:r>
      <w:r w:rsidRPr="00BF68F8">
        <w:rPr>
          <w:i/>
          <w:iCs/>
          <w:color w:val="696969"/>
          <w:sz w:val="28"/>
          <w:szCs w:val="28"/>
        </w:rPr>
        <w:t>DRB1</w:t>
      </w:r>
      <w:r w:rsidRPr="00BF68F8">
        <w:rPr>
          <w:color w:val="696969"/>
          <w:sz w:val="28"/>
          <w:szCs w:val="28"/>
        </w:rPr>
        <w:t xml:space="preserve">*0406, có liên quan mật thiết đến sự biểu hiện hội chứng IAS. Tần suất kiểu gen </w:t>
      </w:r>
      <w:r w:rsidRPr="00BF68F8">
        <w:rPr>
          <w:i/>
          <w:iCs/>
          <w:color w:val="696969"/>
          <w:sz w:val="28"/>
          <w:szCs w:val="28"/>
        </w:rPr>
        <w:t>DRB1</w:t>
      </w:r>
      <w:r w:rsidRPr="00BF68F8">
        <w:rPr>
          <w:color w:val="696969"/>
          <w:sz w:val="28"/>
          <w:szCs w:val="28"/>
        </w:rPr>
        <w:t>*0406 biểu hiện cao trong khu vực Đông Á, lý giải vì sao tỷ lệ mắc IAS ở nhóm này nhiều hơn so với người da trắng.</w:t>
      </w:r>
    </w:p>
    <w:p w:rsidR="003A15F4" w:rsidRPr="00BF68F8" w:rsidRDefault="003A15F4" w:rsidP="003A15F4">
      <w:pPr>
        <w:pStyle w:val="NormalWeb"/>
        <w:spacing w:before="0" w:beforeAutospacing="0" w:after="0" w:afterAutospacing="0"/>
        <w:jc w:val="both"/>
        <w:rPr>
          <w:color w:val="414141"/>
          <w:sz w:val="28"/>
          <w:szCs w:val="28"/>
        </w:rPr>
      </w:pPr>
      <w:r w:rsidRPr="00BF68F8">
        <w:rPr>
          <w:rStyle w:val="Strong"/>
          <w:color w:val="696969"/>
          <w:sz w:val="28"/>
          <w:szCs w:val="28"/>
        </w:rPr>
        <w:t>Các thuốc liên quan đến IAS</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Thuốc là một yếu tố khởi phát phổ biến của IAS, với khoảng một nửa số ca mắc ISA được cho là do thuốc gây ra. Các thuốc và dẫn chất chuyển hóa còn hoạt tính có chứa nhóm sulfhydryl (-SH) hoặc nhóm thiol (R-SH) đã được ghi nhận có liên quan đến IAS, ví dụ: carbimazol, clopidogrel, captopril</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Các thuốc này gắn kết và cắt đứt cầu nối disulfid (-S-S-) giữa các chuỗi insulin, làm tăng tính sinh miễn dịch của insulin nội sinh và kích thích cơ thể sản sinh tự kháng thể kháng insulin. Ngoài ra, một số thuốc khác cũng được ghi nhận có liên quan đến IAS, nhưng cơ chế chưa rõ ràng.</w:t>
      </w:r>
    </w:p>
    <w:p w:rsidR="003A15F4" w:rsidRPr="00BF68F8" w:rsidRDefault="003A15F4" w:rsidP="003A15F4">
      <w:pPr>
        <w:pStyle w:val="NormalWeb"/>
        <w:spacing w:before="0" w:beforeAutospacing="0" w:after="0" w:afterAutospacing="0"/>
        <w:jc w:val="both"/>
        <w:rPr>
          <w:color w:val="414141"/>
          <w:sz w:val="28"/>
          <w:szCs w:val="28"/>
        </w:rPr>
      </w:pPr>
    </w:p>
    <w:p w:rsidR="003A15F4" w:rsidRPr="00BF68F8" w:rsidRDefault="003A15F4" w:rsidP="003A15F4">
      <w:pPr>
        <w:pStyle w:val="NormalWeb"/>
        <w:spacing w:before="0" w:beforeAutospacing="0" w:after="0" w:afterAutospacing="0"/>
        <w:jc w:val="both"/>
        <w:rPr>
          <w:color w:val="414141"/>
          <w:sz w:val="28"/>
          <w:szCs w:val="28"/>
        </w:rPr>
      </w:pPr>
      <w:r w:rsidRPr="00BF68F8">
        <w:rPr>
          <w:b/>
          <w:bCs/>
          <w:color w:val="696969"/>
          <w:sz w:val="28"/>
          <w:szCs w:val="28"/>
        </w:rPr>
        <w:t>Điều trị và tiên lượng</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Mặc dù biểu hiện lâm sàng nghiêm trọng, nhưng IAS có khả năng tự hồi phục, do các tự kháng thể kháng insulin thường biến mất trong vòng vài tháng. Do đó, xử trí thường bao gồm:</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 Ngừng thuốc nghi ngờ là tác nhân khởi phát bệnh.</w:t>
      </w:r>
    </w:p>
    <w:p w:rsidR="003A15F4" w:rsidRPr="00BF68F8" w:rsidRDefault="003A15F4" w:rsidP="003A15F4">
      <w:pPr>
        <w:pStyle w:val="NormalWeb"/>
        <w:spacing w:before="0" w:beforeAutospacing="0" w:after="0" w:afterAutospacing="0"/>
        <w:jc w:val="both"/>
        <w:rPr>
          <w:color w:val="414141"/>
          <w:sz w:val="28"/>
          <w:szCs w:val="28"/>
        </w:rPr>
      </w:pPr>
      <w:r w:rsidRPr="00BF68F8">
        <w:rPr>
          <w:color w:val="696969"/>
          <w:sz w:val="28"/>
          <w:szCs w:val="28"/>
        </w:rPr>
        <w:t xml:space="preserve">- Điều chỉnh chế độ ăn uống như chia nhiều bữa nhỏ với hàm lượng carbohydrat thấp để giảm nguy cơ hạ đường huyết. </w:t>
      </w:r>
    </w:p>
    <w:p w:rsidR="00BF68F8" w:rsidRDefault="003A15F4" w:rsidP="00BF68F8">
      <w:pPr>
        <w:spacing w:after="0" w:line="240" w:lineRule="auto"/>
        <w:rPr>
          <w:rFonts w:ascii="Times New Roman" w:hAnsi="Times New Roman" w:cs="Times New Roman"/>
          <w:b/>
          <w:bCs/>
          <w:color w:val="FF0000"/>
          <w:sz w:val="28"/>
          <w:szCs w:val="28"/>
        </w:rPr>
      </w:pPr>
      <w:r w:rsidRPr="00BF68F8">
        <w:rPr>
          <w:rFonts w:ascii="Times New Roman" w:hAnsi="Times New Roman" w:cs="Times New Roman"/>
          <w:color w:val="414141"/>
          <w:sz w:val="28"/>
          <w:szCs w:val="28"/>
        </w:rPr>
        <w:t> Nguồn: </w:t>
      </w:r>
      <w:hyperlink r:id="rId7" w:history="1">
        <w:r w:rsidRPr="00BF68F8">
          <w:rPr>
            <w:rStyle w:val="Hyperlink"/>
            <w:rFonts w:ascii="Times New Roman" w:hAnsi="Times New Roman" w:cs="Times New Roman"/>
            <w:sz w:val="28"/>
            <w:szCs w:val="28"/>
            <w:bdr w:val="none" w:sz="0" w:space="0" w:color="auto" w:frame="1"/>
          </w:rPr>
          <w:t>https://www.medsafe.govt.nz/profs/PUArticles/June2026/Insulin-autoimmune-syndrome.html</w:t>
        </w:r>
      </w:hyperlink>
      <w:r w:rsidRPr="00BF68F8">
        <w:rPr>
          <w:rFonts w:ascii="Times New Roman" w:hAnsi="Times New Roman" w:cs="Times New Roman"/>
          <w:color w:val="414141"/>
          <w:sz w:val="28"/>
          <w:szCs w:val="28"/>
        </w:rPr>
        <w:br/>
      </w:r>
      <w:r w:rsidRPr="00BF68F8">
        <w:rPr>
          <w:rFonts w:ascii="Times New Roman" w:hAnsi="Times New Roman" w:cs="Times New Roman"/>
          <w:color w:val="FF0000"/>
          <w:sz w:val="28"/>
          <w:szCs w:val="28"/>
          <w:highlight w:val="yellow"/>
        </w:rPr>
        <w:t>II.</w:t>
      </w:r>
      <w:r w:rsidR="00DD588E" w:rsidRPr="00BF68F8">
        <w:rPr>
          <w:rFonts w:ascii="Times New Roman" w:hAnsi="Times New Roman" w:cs="Times New Roman"/>
          <w:b/>
          <w:bCs/>
          <w:color w:val="FF0000"/>
          <w:sz w:val="28"/>
          <w:szCs w:val="28"/>
          <w:highlight w:val="yellow"/>
        </w:rPr>
        <w:t xml:space="preserve"> MHRA: Tăng cường cảnh báo nguy cơ phù mạch khởi phát muộn khi sử dụng các thuốc ức chế men chuyển (ACE)</w:t>
      </w:r>
    </w:p>
    <w:p w:rsidR="00DD588E" w:rsidRPr="00BF68F8" w:rsidRDefault="00DD588E" w:rsidP="00BF68F8">
      <w:pPr>
        <w:spacing w:after="0" w:line="240" w:lineRule="auto"/>
        <w:rPr>
          <w:rFonts w:ascii="Times New Roman" w:hAnsi="Times New Roman" w:cs="Times New Roman"/>
          <w:b/>
          <w:bCs/>
          <w:color w:val="FF0000"/>
          <w:sz w:val="28"/>
          <w:szCs w:val="28"/>
        </w:rPr>
      </w:pPr>
      <w:r w:rsidRPr="00BF68F8">
        <w:rPr>
          <w:rFonts w:ascii="Times New Roman" w:hAnsi="Times New Roman" w:cs="Times New Roman"/>
          <w:color w:val="000000"/>
          <w:sz w:val="28"/>
          <w:szCs w:val="28"/>
        </w:rPr>
        <w:t>Các thuốc ức chế men chuyển (ACEI) được chỉ định trong điều trị tăng huyết áp, suy tim, điều trị sau nhồi máu cơ tim, bệnh thận do đái tháo đường và giảm nguy cơ biến cố tim mạch. </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Phù mạch đặc trưng bởi tình trạng sưng cục bộ các mô dưới da hoặc dưới niêm mạc. Trong đó, không giống như phù mạch qua trung gian histamin (phù mạch dị ứng), phù mạch qua trung gian bradykinin thường xảy ra mà không có biểu hiện mề đay và thường khởi phát muộn hơn, tuy nhiên, các triệu chứng lâm sàng thường biểu hiện trên lưỡi, môi và đường hô hấp trên, và có thể gây đe dọa tính mạng. </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Mặc dù ít gặp, ACE có liên quan đến cả phù mạch qua trung gian histamin và phù mạch qua trung gian bradykinin. Một số nhóm đối tượng nguy cơ cao được xác định bao gồm tuổi cao, phụ nữ, hút thuốc lá và người da đen hoặc người Caribe gốc Phi.</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Hiện nay, thông tin sản phẩm của tất cả các thuốc ACE đang được cập nhật nhằm tăng cường cảnh báo về nguy cơ phù mạch khởi phát muộn, từ vài tuần đến nhiều năm sau sử dụng thuốc. Đồng thời, Cơ quan quản lý Dược phẩm và Sản phẩm Y tế Anh (MHRA) khuyến cáo nhân viên y tế, đặc biệt là tại các Khoa Cấp cứu, lưu ý khả năng xuất hiện phù mạch muộn và phân biệt phù mạch qua trung gian bradykinin và histamin, do chiến lược điều trị giữa hai cơ chế này có sự khác biệt đáng kể.</w:t>
      </w:r>
    </w:p>
    <w:p w:rsidR="00DD588E" w:rsidRPr="00BF68F8" w:rsidRDefault="00DD588E" w:rsidP="00BF68F8">
      <w:pPr>
        <w:pStyle w:val="NormalWeb"/>
        <w:spacing w:before="0" w:beforeAutospacing="0" w:after="0" w:afterAutospacing="0"/>
        <w:jc w:val="both"/>
        <w:rPr>
          <w:color w:val="414141"/>
          <w:sz w:val="28"/>
          <w:szCs w:val="28"/>
        </w:rPr>
      </w:pPr>
      <w:r w:rsidRPr="00BF68F8">
        <w:rPr>
          <w:b/>
          <w:bCs/>
          <w:color w:val="000000"/>
          <w:sz w:val="28"/>
          <w:szCs w:val="28"/>
        </w:rPr>
        <w:t>Dữ liệu đánh giá tại Vương quốc Anh</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Một đánh giá dữ trên dữ liệu về phản ứng có hại tại Vương quốc Anh tính đến ngày 10/06/2026 đã xác định rằng khoảng một nửa số trường hợp phù mạch có thời gian khởi phát sau ≥ 30 ngày kể từ khi bắt đầu điều trị. Dữ liệu từ các nhà sản xuất chỉ ra rằng khoảng 20–30% các trường hợp này được báo cáo sau ít nhất 30 ngày điều trị với ACE. Các trường hợp phù mạch khởi phát chậm này có thể liên quan nhiều hơn đến cơ chế phù mạch qua trung gian bradykinin. Mặc dù hiếm gặp, các trường hợp tử vong đã được ghi nhận, chủ yếu liên quan đến tình trạng tắc nghẽn đường thở, và xảy ra sau thời gian điều trị kéo dài với các thuốc ức chế men chuyển (ACE).</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 xml:space="preserve">Các y văn hiện có mô tả phù mạch qua trung gian bradykinin thường xảy ra sau vài tuần thậm chí nhiều năm sau khi bắt đầu điều trị, kể cả ở những bệnh nhân đã sử dụng thuốc liên tục trong nhiều năm. Các tổng quan cũng đều nhấn mạnh rằng phù mạch qua trung </w:t>
      </w:r>
      <w:r w:rsidRPr="00BF68F8">
        <w:rPr>
          <w:color w:val="000000"/>
          <w:sz w:val="28"/>
          <w:szCs w:val="28"/>
        </w:rPr>
        <w:lastRenderedPageBreak/>
        <w:t>gian bradykinin thường không đáp ứng với các biện pháp điều trị phản vệ tiêu chuẩn, do đó cần được nhận biết sớm và can thiệp đường thở phù hợp kịp thời.</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Các hướng dẫn lâm sàng hiện hành trong cấp cứu xác định thuốc ACE là một trong những nguyên nhân hàng đầu gây phù mạch không do dị ứng và khuyến cáo cân nhắc đến cơ chế qua trung gian bradykinin khi điều trị tiêu chuẩn không hiệu quả. Các hướng dẫn này nhấn mạnh việc ngừng ngay thuốc ACE, theo dõi chặt chẽ đường thở và hội chẩn chuyên khoa sớm ở những trường hợp nặng hoặc đe dọa tính mạng. Bên cạnh đó, một số xét nghiệm bổ sung, chẳng hạn như định lượng nồng độ C4 trong huyết thanh, có thể hỗ trợ xác định nguyên nhân không do dị ứng và định hướng xử trí thích hợp.</w:t>
      </w:r>
    </w:p>
    <w:p w:rsidR="00DD588E" w:rsidRPr="00BF68F8" w:rsidRDefault="00DD588E" w:rsidP="00BF68F8">
      <w:pPr>
        <w:pStyle w:val="NormalWeb"/>
        <w:spacing w:before="0" w:beforeAutospacing="0" w:after="0" w:afterAutospacing="0"/>
        <w:jc w:val="both"/>
        <w:rPr>
          <w:color w:val="414141"/>
          <w:sz w:val="28"/>
          <w:szCs w:val="28"/>
        </w:rPr>
      </w:pPr>
      <w:r w:rsidRPr="00BF68F8">
        <w:rPr>
          <w:b/>
          <w:bCs/>
          <w:color w:val="000000"/>
          <w:sz w:val="28"/>
          <w:szCs w:val="28"/>
        </w:rPr>
        <w:t>Khuyến cáo dành cho nhân viên y tế</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 Phù mạch là một tác dụng không mong muốn có tần suất ít gặp hoặc hiếm gặp do các thuốc ACE. Phản ứng có thể xuất hiện dưới dạng phù mạch dị ứng do histamin hoặc hiếm gặp hơn là dạng phù mạch qua trung gian bradykinin. Trong đó, nhân viên y tế cần cân nhắc đến cơ chế phù mạch qua trung gian bradykinin khi bệnh nhân không đáp ứng với các liệu pháp điều trị dị ứng tiêu chuẩn . </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 Phù mạch liên quan đến thuốc ức chế men chuyển (ACE) có thể xảy ra trên bệnh nhân ở bất kỳ thời điểm nào trong quá trình điều trị, thậm chí là vài tuần hoặc vài năm sau khi sử dụng thuốc. Phù mạch do ACE đặc trưng bởi các triệu chứnglâm sàng bao gồm sưng lưỡi, môi, mặt hoặc thanh quản, có thể gây khó thở, khó nuốt, có thể tiến triển đếntắc nghẽn đường thở. Một số trường hợp có thể xuất hiện các triệu chứng tiêu hóa như đau bụng và co thắt bụng.</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 Lưu ý rằng phù mạch qua trung gian bradykinin thường không đáp ứng với các biện pháp điều trị dị ứng tiêu chuẩn, bao gồm cả adrenalin (epinephrin).</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 Khi bệnh nhân không đáp ứng với điều trị tiêuchuẩn, nhân viên y tế cần cân nhắc đến khả năng xuất hiện phù mạch qua trung gian bradykinin và tiến hành điều chỉnh các phác đồ phù hợp.</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rPr>
        <w:t>- Ngừng thuốc ngay lập tức và không tái sử dụng thuốc khi bệnh nhân xuất hiện phản ứng phù mạch nghi ngờ do các thuốc ức chế men chuyển.</w:t>
      </w:r>
    </w:p>
    <w:p w:rsidR="00DD588E" w:rsidRPr="00BF68F8" w:rsidRDefault="00DD588E" w:rsidP="00BF68F8">
      <w:pPr>
        <w:pStyle w:val="NormalWeb"/>
        <w:spacing w:before="0" w:beforeAutospacing="0" w:after="0" w:afterAutospacing="0"/>
        <w:jc w:val="both"/>
        <w:rPr>
          <w:color w:val="414141"/>
          <w:sz w:val="28"/>
          <w:szCs w:val="28"/>
        </w:rPr>
      </w:pPr>
      <w:r w:rsidRPr="00BF68F8">
        <w:rPr>
          <w:color w:val="414141"/>
          <w:sz w:val="28"/>
          <w:szCs w:val="28"/>
        </w:rPr>
        <w:t> </w:t>
      </w:r>
      <w:r w:rsidRPr="00BF68F8">
        <w:rPr>
          <w:color w:val="696969"/>
          <w:sz w:val="28"/>
          <w:szCs w:val="28"/>
        </w:rPr>
        <w:t>Nguồn: </w:t>
      </w:r>
      <w:hyperlink r:id="rId8" w:anchor="fn:1" w:history="1">
        <w:r w:rsidRPr="00BF68F8">
          <w:rPr>
            <w:rStyle w:val="Hyperlink"/>
            <w:sz w:val="28"/>
            <w:szCs w:val="28"/>
            <w:u w:val="none"/>
            <w:bdr w:val="none" w:sz="0" w:space="0" w:color="auto" w:frame="1"/>
          </w:rPr>
          <w:t>https://www.gov.uk/drug-safety-update/ace-inhibitors-be-aware-of-the-distinction-between-bradykinin-and-histamine-mediated-angioedema-as-treatment-strategies-differ-significantly#fn:1</w:t>
        </w:r>
      </w:hyperlink>
    </w:p>
    <w:p w:rsidR="00DD588E" w:rsidRPr="00BF68F8" w:rsidRDefault="00DD588E" w:rsidP="00BF68F8">
      <w:pPr>
        <w:spacing w:after="0" w:line="240" w:lineRule="auto"/>
        <w:rPr>
          <w:rFonts w:ascii="Times New Roman" w:hAnsi="Times New Roman" w:cs="Times New Roman"/>
          <w:b/>
          <w:bCs/>
          <w:color w:val="FF0000"/>
          <w:sz w:val="28"/>
          <w:szCs w:val="28"/>
        </w:rPr>
      </w:pPr>
      <w:r w:rsidRPr="00BF68F8">
        <w:rPr>
          <w:rFonts w:ascii="Times New Roman" w:hAnsi="Times New Roman" w:cs="Times New Roman"/>
          <w:color w:val="FF0000"/>
          <w:sz w:val="28"/>
          <w:szCs w:val="28"/>
          <w:highlight w:val="yellow"/>
        </w:rPr>
        <w:t>III.</w:t>
      </w:r>
      <w:r w:rsidRPr="00BF68F8">
        <w:rPr>
          <w:rFonts w:ascii="Times New Roman" w:hAnsi="Times New Roman" w:cs="Times New Roman"/>
          <w:b/>
          <w:bCs/>
          <w:color w:val="FF0000"/>
          <w:sz w:val="28"/>
          <w:szCs w:val="28"/>
          <w:highlight w:val="yellow"/>
        </w:rPr>
        <w:t xml:space="preserve"> Medsafe: Nhắc lại các tác dụng không mong muốn quan trọng liên quan đến opioid</w:t>
      </w:r>
    </w:p>
    <w:p w:rsidR="00DD588E" w:rsidRPr="00BF68F8" w:rsidRDefault="00DD588E" w:rsidP="00BF68F8">
      <w:pPr>
        <w:spacing w:after="0" w:line="240" w:lineRule="auto"/>
        <w:rPr>
          <w:rFonts w:ascii="Times New Roman" w:hAnsi="Times New Roman" w:cs="Times New Roman"/>
          <w:b/>
          <w:bCs/>
          <w:color w:val="006666"/>
          <w:sz w:val="28"/>
          <w:szCs w:val="28"/>
        </w:rPr>
      </w:pPr>
      <w:r w:rsidRPr="00BF68F8">
        <w:rPr>
          <w:rFonts w:ascii="Times New Roman" w:hAnsi="Times New Roman" w:cs="Times New Roman"/>
          <w:color w:val="000000"/>
          <w:sz w:val="28"/>
          <w:szCs w:val="28"/>
          <w:shd w:val="clear" w:color="auto" w:fill="FFFFFF"/>
        </w:rPr>
        <w:t>Nhóm thuốc opioid bao gồm như morphin, tramadol, oxycodon và fentanyl, được chỉ định để kiểm soát cơn đau cấp tính mức độ vừa đến nặng trong thời gian ngắn hoặc đau mạn tính liên quan đến bệnh lý ác tính.</w:t>
      </w:r>
    </w:p>
    <w:p w:rsidR="00DD588E" w:rsidRPr="00BF68F8" w:rsidRDefault="00DD588E" w:rsidP="00BF68F8">
      <w:pPr>
        <w:pStyle w:val="NormalWeb"/>
        <w:spacing w:before="0" w:beforeAutospacing="0" w:after="0" w:afterAutospacing="0"/>
        <w:jc w:val="both"/>
        <w:rPr>
          <w:color w:val="414141"/>
          <w:sz w:val="28"/>
          <w:szCs w:val="28"/>
        </w:rPr>
      </w:pPr>
      <w:r w:rsidRPr="00BF68F8">
        <w:rPr>
          <w:color w:val="000000"/>
          <w:sz w:val="28"/>
          <w:szCs w:val="28"/>
          <w:shd w:val="clear" w:color="auto" w:fill="FFFFFF"/>
        </w:rPr>
        <w:t xml:space="preserve">Nhóm thuốc opioid cũng được biết đến với tác dụng không mong muốn trên nhiều hệ cơ quan như hệ nội tiết, gan mật và đường tiêu hóa. </w:t>
      </w:r>
    </w:p>
    <w:p w:rsidR="00DD588E" w:rsidRPr="00BF68F8" w:rsidRDefault="00DD588E" w:rsidP="00BF68F8">
      <w:pPr>
        <w:pStyle w:val="NormalWeb"/>
        <w:spacing w:before="0" w:beforeAutospacing="0" w:after="0" w:afterAutospacing="0"/>
        <w:jc w:val="both"/>
        <w:rPr>
          <w:color w:val="414141"/>
          <w:sz w:val="28"/>
          <w:szCs w:val="28"/>
        </w:rPr>
      </w:pPr>
      <w:r w:rsidRPr="00BF68F8">
        <w:rPr>
          <w:color w:val="414141"/>
          <w:sz w:val="28"/>
          <w:szCs w:val="28"/>
        </w:rPr>
        <w:t> </w:t>
      </w:r>
      <w:r w:rsidRPr="00BF68F8">
        <w:rPr>
          <w:b/>
          <w:bCs/>
          <w:color w:val="000000"/>
          <w:sz w:val="28"/>
          <w:szCs w:val="28"/>
        </w:rPr>
        <w:t>Hệ nội tiết: Ức chế các trục dưới đồi – tuyến yên</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Việc sử dụng opioid kéo dài (&gt; 1 tháng) có nguy cơ làm rối loạn quá trình bài tiết một số hormon từ tuyến yên do kích thích các thụ thể opioid ở vùng dưới đồi.</w:t>
      </w:r>
    </w:p>
    <w:p w:rsidR="00DD588E" w:rsidRPr="00BF68F8" w:rsidRDefault="00DD588E" w:rsidP="00BF68F8">
      <w:pPr>
        <w:pStyle w:val="NormalWeb"/>
        <w:spacing w:before="0" w:beforeAutospacing="0" w:after="0" w:afterAutospacing="0"/>
        <w:jc w:val="both"/>
        <w:rPr>
          <w:color w:val="414141"/>
          <w:sz w:val="28"/>
          <w:szCs w:val="28"/>
        </w:rPr>
      </w:pPr>
      <w:r w:rsidRPr="00BF68F8">
        <w:rPr>
          <w:b/>
          <w:bCs/>
          <w:i/>
          <w:iCs/>
          <w:color w:val="1F1F1F"/>
          <w:sz w:val="28"/>
          <w:szCs w:val="28"/>
        </w:rPr>
        <w:lastRenderedPageBreak/>
        <w:t>Trục dưới đồi – tuyến yên – sinh dục (HPG)</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Opioid có thể ức chế sự giải phóng hormon giải phóng gonadotropin (GnRH) từ vùng dưới đồi, làm giảm tiết hormon lutein hóa (LH) và hormon kích thích nang trứng (FSH), từ đó ức chế quá trình sản xuất hormon sinh dục steroid ở tuyến sinh dục (gây suy giảm chức năng sinh dục).</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Những tác động lên trục HPG có thể khiến suy giảm nồng độ hormon testosterone và estrogen, từ đó có thể xảy ra các triệu chứng lâm sàng như giảm ham muốn tình dục ở cả hai giới, rối loạn cương dương và rối loạn kinh nguyệt ở nữ giới.</w:t>
      </w:r>
    </w:p>
    <w:p w:rsidR="00DD588E" w:rsidRPr="00BF68F8" w:rsidRDefault="00DD588E" w:rsidP="00BF68F8">
      <w:pPr>
        <w:pStyle w:val="NormalWeb"/>
        <w:spacing w:before="0" w:beforeAutospacing="0" w:after="0" w:afterAutospacing="0"/>
        <w:jc w:val="both"/>
        <w:rPr>
          <w:color w:val="414141"/>
          <w:sz w:val="28"/>
          <w:szCs w:val="28"/>
        </w:rPr>
      </w:pPr>
      <w:r w:rsidRPr="00BF68F8">
        <w:rPr>
          <w:b/>
          <w:bCs/>
          <w:i/>
          <w:iCs/>
          <w:color w:val="1F1F1F"/>
          <w:sz w:val="28"/>
          <w:szCs w:val="28"/>
        </w:rPr>
        <w:t>Trục dưới đồi – tuyến yên – thượng thận (HPA)</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Opioid điều hòa hoạt động của trục dưới đồi – tuyến yên – thượng thận thông qua các thụ thể opioid tại vùng dưới đồi, tuyến yên và tuyến thượng thận. Thuốc chủ yếu tác động lên hệ thần kinh trung ương, gây ức chế bài tiết hormon kích thích vỏ thượng thận (ACTH). Tình trạng giảm giải phóng ACTH kéo theo sự giảm sản xuất cortisol tại tuyến thượng thận.</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Việc sử dụng opioid có thể dẫn đến suy thượng thận có hồi phục, tình trạng này cần được theo dõi và điều trị thay thế bằng glucocorticoid. Các triệu chứng bao gồm mệt mỏi, chóng mặt, buồn nôn, nôn và hạ huyết áp.</w:t>
      </w:r>
    </w:p>
    <w:p w:rsidR="00DD588E" w:rsidRPr="00BF68F8" w:rsidRDefault="00DD588E" w:rsidP="00BF68F8">
      <w:pPr>
        <w:pStyle w:val="NormalWeb"/>
        <w:spacing w:before="0" w:beforeAutospacing="0" w:after="0" w:afterAutospacing="0"/>
        <w:jc w:val="both"/>
        <w:rPr>
          <w:color w:val="414141"/>
          <w:sz w:val="28"/>
          <w:szCs w:val="28"/>
        </w:rPr>
      </w:pPr>
      <w:r w:rsidRPr="00BF68F8">
        <w:rPr>
          <w:b/>
          <w:bCs/>
          <w:i/>
          <w:iCs/>
          <w:color w:val="1F1F1F"/>
          <w:sz w:val="28"/>
          <w:szCs w:val="28"/>
        </w:rPr>
        <w:t>Tăng prolactin máu</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Opioid có thể gây tăng prolactin máu ở cả nam và nữ, do tác dụng ức chế hệ dopaminergic củ – phễu.</w:t>
      </w:r>
    </w:p>
    <w:p w:rsidR="00DD588E" w:rsidRPr="00BF68F8" w:rsidRDefault="00DD588E" w:rsidP="00BF68F8">
      <w:pPr>
        <w:pStyle w:val="NormalWeb"/>
        <w:spacing w:before="0" w:beforeAutospacing="0" w:after="0" w:afterAutospacing="0"/>
        <w:jc w:val="both"/>
        <w:rPr>
          <w:color w:val="414141"/>
          <w:sz w:val="28"/>
          <w:szCs w:val="28"/>
        </w:rPr>
      </w:pPr>
      <w:r w:rsidRPr="00BF68F8">
        <w:rPr>
          <w:b/>
          <w:bCs/>
          <w:i/>
          <w:iCs/>
          <w:color w:val="1F1F1F"/>
          <w:sz w:val="28"/>
          <w:szCs w:val="28"/>
        </w:rPr>
        <w:t>Khuyến cáo dành cho nhân viên y tế lưu ý rằng:</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 Nguy cơ rối loạn nội tiết tỷ lệ thuận với mức độ phơi nhiễm opioid, đặc biệt khi sử dụng opioid liều cao, điều trị kéo dài hoặc sử dụng các dạng bào chế giải phóng kéo dài. </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 Các thuốc chủ vận từng phần như buprenorphin có thể gây ức chế trục HPG và trục HPA ít hơn so với các opioid chủ vận toàn phần như morphin hoặc oxycodon</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 Bệnh lý nội tiết do opioid thường khởi phát âm thầm với các triệu chứng không đặc hiệu, dễ bị che lấp bởi các tác dụng không mong muốn khác của thuốc hoặc bệnh lý nền (như đau mạn tính), gây khó khăn cho chẩn đoán lâm sàng.</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 Khuyến cáo bệnh nhân có nguy cơ mắc bệnh lý nội tiết do opioid chủ động báo cáo các triệu chứng nghi ngờ để được đánh giá và xử trí kịp thời.</w:t>
      </w:r>
    </w:p>
    <w:p w:rsidR="00DD588E" w:rsidRPr="00BF68F8" w:rsidRDefault="00DD588E" w:rsidP="00BF68F8">
      <w:pPr>
        <w:pStyle w:val="NormalWeb"/>
        <w:spacing w:before="0" w:beforeAutospacing="0" w:after="0" w:afterAutospacing="0"/>
        <w:jc w:val="both"/>
        <w:rPr>
          <w:color w:val="414141"/>
          <w:sz w:val="28"/>
          <w:szCs w:val="28"/>
        </w:rPr>
      </w:pPr>
      <w:r w:rsidRPr="00BF68F8">
        <w:rPr>
          <w:color w:val="414141"/>
          <w:sz w:val="28"/>
          <w:szCs w:val="28"/>
        </w:rPr>
        <w:t> </w:t>
      </w:r>
      <w:r w:rsidRPr="00BF68F8">
        <w:rPr>
          <w:b/>
          <w:bCs/>
          <w:color w:val="1F1F1F"/>
          <w:sz w:val="28"/>
          <w:szCs w:val="28"/>
        </w:rPr>
        <w:t>Tác dụng trên hệ gan mật: Co thắt cơ vòng Oddi</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Opioid, đặc biệt là morphin, có thể gây co bóp và co thắt cơ vòng Oddi - cấu trúc cơ vòng có vai trò điều hòa sự lưu thông của dịch mật và dịch tụy vào tá tràng.</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Tình trạng co thắt cơ vòng Oddi có thể làm tăng áp lực đường mật, làm tăng nguy cơ xuất hiện các triệu chứng ở đường mật và viêm tụy.</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Cần thận trọng và có biện pháp theo dõi thích hợp khi sử dụng opioid ở những bệnh nhân mắc viêm tụy và các bệnh lý đường mật.</w:t>
      </w:r>
    </w:p>
    <w:p w:rsidR="00DD588E" w:rsidRPr="00BF68F8" w:rsidRDefault="00DD588E" w:rsidP="00BF68F8">
      <w:pPr>
        <w:pStyle w:val="NormalWeb"/>
        <w:spacing w:before="0" w:beforeAutospacing="0" w:after="0" w:afterAutospacing="0"/>
        <w:jc w:val="both"/>
        <w:rPr>
          <w:color w:val="414141"/>
          <w:sz w:val="28"/>
          <w:szCs w:val="28"/>
        </w:rPr>
      </w:pPr>
      <w:r w:rsidRPr="00BF68F8">
        <w:rPr>
          <w:color w:val="414141"/>
          <w:sz w:val="28"/>
          <w:szCs w:val="28"/>
        </w:rPr>
        <w:t> </w:t>
      </w:r>
      <w:r w:rsidRPr="00BF68F8">
        <w:rPr>
          <w:b/>
          <w:bCs/>
          <w:color w:val="1F1F1F"/>
          <w:sz w:val="28"/>
          <w:szCs w:val="28"/>
        </w:rPr>
        <w:t>Tác dụng trên đường tiêu hóa: Rối loạn chức năng thực quản</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 xml:space="preserve">Rối loạn chức năng thực quản do opioid đặc trưng với sự xuất hiện các triệu chứng ở thực quản kèm theo sự bất thường về nhu động thực quản sau khi sử dụng opioid kéo </w:t>
      </w:r>
      <w:r w:rsidRPr="00BF68F8">
        <w:rPr>
          <w:color w:val="1F1F1F"/>
          <w:sz w:val="28"/>
          <w:szCs w:val="28"/>
        </w:rPr>
        <w:lastRenderedPageBreak/>
        <w:t>dài. Trong đó, khó nuốt là triệu chứng được ghi nhận phổ biến nhất. Các triệu chứng khác bao gồm ợ nóng, trào ngược và đau ngực không do nguyên nhân tim mạch.</w:t>
      </w:r>
    </w:p>
    <w:p w:rsidR="00DD588E" w:rsidRPr="00BF68F8" w:rsidRDefault="00DD588E" w:rsidP="00BF68F8">
      <w:pPr>
        <w:pStyle w:val="NormalWeb"/>
        <w:spacing w:before="0" w:beforeAutospacing="0" w:after="0" w:afterAutospacing="0"/>
        <w:jc w:val="both"/>
        <w:rPr>
          <w:color w:val="414141"/>
          <w:sz w:val="28"/>
          <w:szCs w:val="28"/>
        </w:rPr>
      </w:pPr>
      <w:r w:rsidRPr="00BF68F8">
        <w:rPr>
          <w:b/>
          <w:bCs/>
          <w:i/>
          <w:iCs/>
          <w:color w:val="1F1F1F"/>
          <w:sz w:val="28"/>
          <w:szCs w:val="28"/>
        </w:rPr>
        <w:t>Khuyến cáo dành cho nhân viên y tế</w:t>
      </w:r>
    </w:p>
    <w:p w:rsidR="00DD588E" w:rsidRPr="00BF68F8" w:rsidRDefault="00DD588E" w:rsidP="00BF68F8">
      <w:pPr>
        <w:pStyle w:val="NormalWeb"/>
        <w:spacing w:before="0" w:beforeAutospacing="0" w:after="0" w:afterAutospacing="0"/>
        <w:jc w:val="both"/>
        <w:rPr>
          <w:color w:val="414141"/>
          <w:sz w:val="28"/>
          <w:szCs w:val="28"/>
        </w:rPr>
      </w:pPr>
      <w:r w:rsidRPr="00BF68F8">
        <w:rPr>
          <w:color w:val="1F1F1F"/>
          <w:sz w:val="28"/>
          <w:szCs w:val="28"/>
        </w:rPr>
        <w:t>- Cân nhắc ngừng thuốc hoặc giảm dần liều các opioid ở những bệnh nhân có biểu hiện gợi ý rối loạn chức năng thực quản do opioid.</w:t>
      </w:r>
    </w:p>
    <w:p w:rsidR="0064571F" w:rsidRPr="00BF68F8" w:rsidRDefault="00DD588E" w:rsidP="00BF68F8">
      <w:pPr>
        <w:pStyle w:val="NormalWeb"/>
        <w:spacing w:before="0" w:beforeAutospacing="0" w:after="0" w:afterAutospacing="0"/>
        <w:jc w:val="right"/>
        <w:rPr>
          <w:color w:val="414141"/>
          <w:sz w:val="28"/>
          <w:szCs w:val="28"/>
        </w:rPr>
      </w:pPr>
      <w:r w:rsidRPr="00BF68F8">
        <w:rPr>
          <w:color w:val="696969"/>
          <w:sz w:val="28"/>
          <w:szCs w:val="28"/>
        </w:rPr>
        <w:t>Nguồn: </w:t>
      </w:r>
      <w:hyperlink r:id="rId9" w:history="1">
        <w:r w:rsidRPr="00BF68F8">
          <w:rPr>
            <w:rStyle w:val="Hyperlink"/>
            <w:sz w:val="28"/>
            <w:szCs w:val="28"/>
            <w:u w:val="none"/>
            <w:bdr w:val="none" w:sz="0" w:space="0" w:color="auto" w:frame="1"/>
          </w:rPr>
          <w:t>https://www.medsafe.govt.nz/profs/PUArticles/June2026/Undesirable-effects-opioids.html</w:t>
        </w:r>
      </w:hyperlink>
      <w:r w:rsidRPr="00BF68F8">
        <w:rPr>
          <w:color w:val="696969"/>
          <w:sz w:val="28"/>
          <w:szCs w:val="28"/>
        </w:rPr>
        <w:br/>
      </w:r>
      <w:r w:rsidRPr="00BF68F8">
        <w:rPr>
          <w:color w:val="FF0000"/>
          <w:sz w:val="28"/>
          <w:szCs w:val="28"/>
          <w:highlight w:val="yellow"/>
        </w:rPr>
        <w:t>Iv.</w:t>
      </w:r>
      <w:r w:rsidR="0064571F" w:rsidRPr="00BF68F8">
        <w:rPr>
          <w:b/>
          <w:bCs/>
          <w:color w:val="FF0000"/>
          <w:sz w:val="28"/>
          <w:szCs w:val="28"/>
          <w:highlight w:val="yellow"/>
        </w:rPr>
        <w:t xml:space="preserve"> ANSM: Nguy cơ táo bón nghiêm trọng khi sử dụng các thuốc chống loạn thần</w:t>
      </w:r>
    </w:p>
    <w:p w:rsidR="0064571F" w:rsidRPr="00BF68F8" w:rsidRDefault="0064571F" w:rsidP="00BF68F8">
      <w:pPr>
        <w:pStyle w:val="NormalWeb"/>
        <w:spacing w:before="0" w:beforeAutospacing="0" w:after="0" w:afterAutospacing="0"/>
        <w:jc w:val="both"/>
        <w:rPr>
          <w:color w:val="414141"/>
          <w:sz w:val="28"/>
          <w:szCs w:val="28"/>
        </w:rPr>
      </w:pPr>
      <w:r w:rsidRPr="00BF68F8">
        <w:rPr>
          <w:b/>
          <w:bCs/>
          <w:i/>
          <w:iCs/>
          <w:color w:val="696969"/>
          <w:sz w:val="28"/>
          <w:szCs w:val="28"/>
        </w:rPr>
        <w:t>Thuốc chống loạn thần và nguy cơ táo bón</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Táo bón là một phản ứng có hại phổ biến liên quan đến việc sử dụng thuốc chống loạn thần; vẫn luôn được cảnh báo trong tờ thông tin sản phẩm của các thuốc trong nhóm thuốc này. Gần đây, Cơ quan quản lý Dược phẩm và Sinh phẩm Y tế Pháp (ANSM) liên tục ghi nhận được các báo cáo nghiêm trọng liên quan biến cố này trên bệnh nhân sử dụng thuốc chống loạn thần. Do đó, ANSM đưa cảnh báo này nhằm nhấn mạnh tầm quan trọng của việc áp dụng các biện pháp dự phòng phù hợp, tăng cường theo dõi và xử trí sớm các triệu chứng táo bón trên bệnh nhân đang điều trị bằng thuốc chống loạn thần.</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Thuốc chống loạn thần, hay còn gọi là thuốc an thần kinh, được chỉ định để điều trị các triệu chứng rối loạn tâm thần như bệnh tâm thần phân liệt và rối loạn lưỡng cực</w:t>
      </w:r>
      <w:r w:rsidRPr="00BF68F8">
        <w:rPr>
          <w:b/>
          <w:bCs/>
          <w:color w:val="696969"/>
          <w:sz w:val="28"/>
          <w:szCs w:val="28"/>
        </w:rPr>
        <w:t>.</w:t>
      </w:r>
      <w:r w:rsidRPr="00BF68F8">
        <w:rPr>
          <w:color w:val="696969"/>
          <w:sz w:val="28"/>
          <w:szCs w:val="28"/>
        </w:rPr>
        <w:t xml:space="preserve"> </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Một số thuốc chống loạn thần còn được chỉ định để kiểm soát trạng thái kích động hoặc hung hăng trên bệnh nhân tâm thần, hỗ trợ các rối loạn liên quan đến bệnh lý thần kinh (như bệnh Alzheimer, bệnh Huntington...) hoặc phối hợp trong điều trị trầm cảm kháng trị mức độ nặng.</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Do có tác dụng kháng cholinergic, các thuốc chống loạn thần có thể gây táo bón, đôi khi các trường hợp táo bón mức độ nặng, có thể dẫn đến các biến chứng nghiêm trọng, thậm chí gây tử vong trên bệnh nhân.</w:t>
      </w:r>
    </w:p>
    <w:p w:rsidR="0064571F" w:rsidRPr="00BF68F8" w:rsidRDefault="0064571F" w:rsidP="00BF68F8">
      <w:pPr>
        <w:pStyle w:val="NormalWeb"/>
        <w:spacing w:before="0" w:beforeAutospacing="0" w:after="0" w:afterAutospacing="0"/>
        <w:jc w:val="both"/>
        <w:rPr>
          <w:color w:val="414141"/>
          <w:sz w:val="28"/>
          <w:szCs w:val="28"/>
        </w:rPr>
      </w:pPr>
      <w:r w:rsidRPr="00BF68F8">
        <w:rPr>
          <w:color w:val="414141"/>
          <w:sz w:val="28"/>
          <w:szCs w:val="28"/>
        </w:rPr>
        <w:t> </w:t>
      </w:r>
    </w:p>
    <w:p w:rsidR="0064571F" w:rsidRPr="00BF68F8" w:rsidRDefault="0064571F" w:rsidP="00BF68F8">
      <w:pPr>
        <w:pStyle w:val="NormalWeb"/>
        <w:spacing w:before="0" w:beforeAutospacing="0" w:after="0" w:afterAutospacing="0"/>
        <w:jc w:val="both"/>
        <w:rPr>
          <w:color w:val="414141"/>
          <w:sz w:val="28"/>
          <w:szCs w:val="28"/>
        </w:rPr>
      </w:pPr>
      <w:r w:rsidRPr="00BF68F8">
        <w:rPr>
          <w:b/>
          <w:bCs/>
          <w:i/>
          <w:iCs/>
          <w:color w:val="696969"/>
          <w:sz w:val="28"/>
          <w:szCs w:val="28"/>
        </w:rPr>
        <w:t>Nhắc lại khuyến cáo từ ANSM</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Sau khi tham khảo ý kiến của các chuyên gia tâm thần học, ANSM</w:t>
      </w:r>
      <w:r w:rsidRPr="00BF68F8">
        <w:rPr>
          <w:b/>
          <w:bCs/>
          <w:color w:val="696969"/>
          <w:sz w:val="28"/>
          <w:szCs w:val="28"/>
        </w:rPr>
        <w:t xml:space="preserve"> </w:t>
      </w:r>
      <w:r w:rsidRPr="00BF68F8">
        <w:rPr>
          <w:color w:val="696969"/>
          <w:sz w:val="28"/>
          <w:szCs w:val="28"/>
        </w:rPr>
        <w:t>nhắc lại các khuyến cáo nhằm giảm thiểu nguy cơ táo bón mức độ nặng và các biến chứng liên quan ở bệnh nhân sử dụng thuốc chống loạn thần. </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(1) Tương tác thuốc: Cần thận trọng khi phối hợp các thuốc khác với thuốc chống loạn thần cùng có tác dụng kháng cholinergic.</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(2) Theo dõi chặt chẽ nhu động ruột và chức năng tiêu hóa của bệnh nhân, chủ động phát hiện sớm các dấu hiệu cảnh báo (như đau bụng, táo bón nặng, tiêu chảy không rõ nguyên nhân).</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(3) Xử trí kịp thời: Trong trường hợp liệt ruột cấp tính, bác sĩ cân nhắc việc ngừng thuốc chống loạn thần, làm sạch phân bị tắc nghẽn và can thiệp ngoại khoa khi cần thiết.</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(4) Cảnh báo nhóm đối tượng nguy cơ cao: Bệnh nhân từ 60 tuổi trở lên là nhóm đối tượng thường đặc biệt nhạy cảm với nhóm thuốc kháng cholinergic.</w:t>
      </w:r>
    </w:p>
    <w:p w:rsidR="0064571F" w:rsidRPr="00BF68F8" w:rsidRDefault="0064571F" w:rsidP="00BF68F8">
      <w:pPr>
        <w:pStyle w:val="Heading2"/>
        <w:spacing w:before="0" w:line="240" w:lineRule="auto"/>
        <w:jc w:val="both"/>
        <w:rPr>
          <w:rFonts w:ascii="Times New Roman" w:hAnsi="Times New Roman" w:cs="Times New Roman"/>
          <w:color w:val="414141"/>
          <w:sz w:val="28"/>
          <w:szCs w:val="28"/>
        </w:rPr>
      </w:pPr>
      <w:r w:rsidRPr="00BF68F8">
        <w:rPr>
          <w:rFonts w:ascii="Times New Roman" w:hAnsi="Times New Roman" w:cs="Times New Roman"/>
          <w:i/>
          <w:iCs/>
          <w:color w:val="696969"/>
          <w:sz w:val="28"/>
          <w:szCs w:val="28"/>
        </w:rPr>
        <w:lastRenderedPageBreak/>
        <w:t>Khuyến cáo dành cho nhân viên y tế</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 Đánh giá gánh nặng kháng cholinergic trong phác đồ điều trị, đặc biệt ở bệnh nhân sử dụng đồng thời nhiều thuốc có đặc tính kháng cholinergic dựa trên các thang điểm đánh giá gánh nặng kháng cholinergic.</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 Nếu bệnh nhân có các yếu tố nguy cơ gây táo bón, cần thực hiện các biện pháp dự phòng thích hợp ngay khi bắt đầu sử dụng thuốc chống loạn thần. </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 Về lối sống và chế độ ăn uống: Tư vấn cho bệnh nhân áp dụng các biện pháp như uống đủ nước, khẩu phần ăn giàu chất xơ,  và có chế độ hoạt động thể chất phù hợp.</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 Hướng dẫn bệnh nhân cách nhận biết các dấu hiệu cảnh báo (đau bụng, táo bón nặng, …) và nhấn mạnh tầm quan trọng của việc điều trị sớm. </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 Nhân viên y tế nên thường xuyên hỏi thăm bệnh nhân về thói quen đại tiện, ngay cả khi bệnh nhân không chủ động báo cáo.</w:t>
      </w:r>
    </w:p>
    <w:p w:rsidR="0064571F" w:rsidRPr="00BF68F8" w:rsidRDefault="0064571F" w:rsidP="00BF68F8">
      <w:pPr>
        <w:pStyle w:val="NormalWeb"/>
        <w:spacing w:before="0" w:beforeAutospacing="0" w:after="0" w:afterAutospacing="0"/>
        <w:jc w:val="both"/>
        <w:rPr>
          <w:color w:val="414141"/>
          <w:sz w:val="28"/>
          <w:szCs w:val="28"/>
        </w:rPr>
      </w:pPr>
      <w:r w:rsidRPr="00BF68F8">
        <w:rPr>
          <w:color w:val="696969"/>
          <w:sz w:val="28"/>
          <w:szCs w:val="28"/>
        </w:rPr>
        <w:t>- Rà soát các thuốc dùng đồng thời: đảm bảo rằng bệnh nhân không đang sử dụng đồng thời các thuốc khác có nguy cơ gây táo bón, chẳng hạn như thuốc chống trầm cảm 3 vòng (imipramin), thuốc điều trị Parkinson và thuốc chống co thắt kháng cholinergic.</w:t>
      </w:r>
    </w:p>
    <w:p w:rsidR="0064571F" w:rsidRPr="00BF68F8" w:rsidRDefault="0064571F" w:rsidP="00BF68F8">
      <w:pPr>
        <w:pStyle w:val="NormalWeb"/>
        <w:spacing w:before="0" w:beforeAutospacing="0" w:after="0" w:afterAutospacing="0"/>
        <w:jc w:val="both"/>
        <w:rPr>
          <w:color w:val="414141"/>
          <w:sz w:val="28"/>
          <w:szCs w:val="28"/>
        </w:rPr>
      </w:pPr>
    </w:p>
    <w:p w:rsidR="0064571F" w:rsidRPr="00BF68F8" w:rsidRDefault="0064571F" w:rsidP="00BF68F8">
      <w:pPr>
        <w:spacing w:after="0" w:line="240" w:lineRule="auto"/>
        <w:jc w:val="right"/>
        <w:rPr>
          <w:rFonts w:ascii="Times New Roman" w:hAnsi="Times New Roman" w:cs="Times New Roman"/>
          <w:color w:val="414141"/>
          <w:sz w:val="28"/>
          <w:szCs w:val="28"/>
        </w:rPr>
      </w:pPr>
      <w:r w:rsidRPr="00BF68F8">
        <w:rPr>
          <w:rFonts w:ascii="Times New Roman" w:hAnsi="Times New Roman" w:cs="Times New Roman"/>
          <w:color w:val="696969"/>
          <w:sz w:val="28"/>
          <w:szCs w:val="28"/>
        </w:rPr>
        <w:t>Nguồn: </w:t>
      </w:r>
      <w:hyperlink r:id="rId10" w:history="1">
        <w:r w:rsidRPr="00BF68F8">
          <w:rPr>
            <w:rStyle w:val="Hyperlink"/>
            <w:rFonts w:ascii="Times New Roman" w:hAnsi="Times New Roman" w:cs="Times New Roman"/>
            <w:sz w:val="28"/>
            <w:szCs w:val="28"/>
            <w:bdr w:val="none" w:sz="0" w:space="0" w:color="auto" w:frame="1"/>
          </w:rPr>
          <w:t>https://ansm.sante.fr/actualites/neuroleptiques-et-constipation-vigilance-indispensable-pour-limiter-le-risque-de-complications</w:t>
        </w:r>
      </w:hyperlink>
    </w:p>
    <w:p w:rsidR="00BF68F8" w:rsidRPr="00BF68F8" w:rsidRDefault="0064571F" w:rsidP="00BF68F8">
      <w:pPr>
        <w:spacing w:after="0" w:line="240" w:lineRule="auto"/>
        <w:rPr>
          <w:rFonts w:ascii="Times New Roman" w:hAnsi="Times New Roman" w:cs="Times New Roman"/>
          <w:b/>
          <w:bCs/>
          <w:color w:val="FF0000"/>
          <w:sz w:val="28"/>
          <w:szCs w:val="28"/>
        </w:rPr>
      </w:pPr>
      <w:r w:rsidRPr="00BF68F8">
        <w:rPr>
          <w:rFonts w:ascii="Times New Roman" w:hAnsi="Times New Roman" w:cs="Times New Roman"/>
          <w:color w:val="414141"/>
          <w:sz w:val="28"/>
          <w:szCs w:val="28"/>
          <w:highlight w:val="yellow"/>
        </w:rPr>
        <w:t>v</w:t>
      </w:r>
      <w:r w:rsidRPr="00BF68F8">
        <w:rPr>
          <w:rFonts w:ascii="Times New Roman" w:hAnsi="Times New Roman" w:cs="Times New Roman"/>
          <w:color w:val="FF0000"/>
          <w:sz w:val="28"/>
          <w:szCs w:val="28"/>
          <w:highlight w:val="yellow"/>
        </w:rPr>
        <w:t>.</w:t>
      </w:r>
      <w:r w:rsidR="00BF68F8" w:rsidRPr="00BF68F8">
        <w:rPr>
          <w:rFonts w:ascii="Times New Roman" w:hAnsi="Times New Roman" w:cs="Times New Roman"/>
          <w:b/>
          <w:bCs/>
          <w:color w:val="FF0000"/>
          <w:sz w:val="28"/>
          <w:szCs w:val="28"/>
          <w:highlight w:val="yellow"/>
        </w:rPr>
        <w:t xml:space="preserve"> Health Canada: Cảnh báo về nguy cơ chảy máu khi sử dụng các sản phẩm chứa diosmin và hesperidin</w:t>
      </w:r>
    </w:p>
    <w:p w:rsidR="00BF68F8" w:rsidRPr="00BF68F8" w:rsidRDefault="00BF68F8" w:rsidP="00BF68F8">
      <w:pPr>
        <w:spacing w:after="0" w:line="240" w:lineRule="auto"/>
        <w:rPr>
          <w:rFonts w:ascii="Times New Roman" w:hAnsi="Times New Roman" w:cs="Times New Roman"/>
          <w:b/>
          <w:bCs/>
          <w:color w:val="006666"/>
          <w:sz w:val="28"/>
          <w:szCs w:val="28"/>
        </w:rPr>
      </w:pPr>
      <w:r w:rsidRPr="00BF68F8">
        <w:rPr>
          <w:rFonts w:ascii="Times New Roman" w:hAnsi="Times New Roman" w:cs="Times New Roman"/>
          <w:color w:val="414141"/>
          <w:sz w:val="28"/>
          <w:szCs w:val="28"/>
        </w:rPr>
        <w:t>Health Canada đã tiến hành đánh giá nguy cơ xuất huyết khi sử dụng các sản phẩm chứa diosmin đơn thành phần hoặc diosmin phối hợp với hesperidin. Quá trình đánh giá được khởi đầu ngay khi Health Canada ghi nhận được một trường hợp bệnh nhân xuất hiện tình trạng xuất huyết trực tràng nghiêm trọng sau 2 ngày sử dụng một sản phẩm sức khỏe tự nhiên chứa diosmin (Tên thương mại: Hemovel). Về tiền sử, bệnh nhân này đang sử dụng đồng thời nhiều thuốc khác (bao gồm các thuốc chống đông máu) trong 2 ngày trước khi xuất hiện biến cố.</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Diosmin và hesperidin là hai hợp chất thuộc nhóm flavonoid  có trong nhiều loài thực vật, đặc biệt là các loại quả thuộc họ cam quýt. Hai hoạt chất này đang có mặt trong nhiều sản phẩm có nguồn gốc tự nhiên để cải thiện các triệu chứng của bệnh trĩ, giãn tĩnh mạch và suy tĩnh mạch mạn tính. Bên cạnh diosmin và hesperidin, nhóm flavonoid cam quýt còn bao gồm nhiều hợp chất khác. Tuy nhiên, Health Canada hiện tại chỉtập trung đánh giá tính an toàn của diosmin và hesperidin do chưa ghi nhận báo cáo về các biến cố xuất huyết liên quan đến những flavonoid khác.</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Diosmin và hesperidin có tác dụng chống oxy hóa, từ đó, giúp bảo vệ tế bào khỏi các gốc tự do có hại, vốn có liên quan đến một số tình trạng bệnh lý. Tại Canada, các sản phẩm có nguồn gốc tự nhiên chứa diosmin và hesperidin đang được phê duyệt sử dụng dạng đường uống với các công dụng giảm triệu chứng suy tĩnh mạch, giãn tĩnh mạch và bệnh trĩ. Hiện nay, các sản phẩm này được sử dụng phổ biến tại Canada với mục đích tăng cường độ bền thành mạch và cải thiện tuần hoàn máu ở bệnh nhân suy tĩnh mạch mạn tính.</w:t>
      </w:r>
    </w:p>
    <w:p w:rsidR="00BF68F8" w:rsidRPr="00BF68F8" w:rsidRDefault="00BF68F8" w:rsidP="00BF68F8">
      <w:pPr>
        <w:pStyle w:val="NormalWeb"/>
        <w:spacing w:before="0" w:beforeAutospacing="0" w:after="0" w:afterAutospacing="0"/>
        <w:jc w:val="both"/>
        <w:rPr>
          <w:color w:val="414141"/>
          <w:sz w:val="28"/>
          <w:szCs w:val="28"/>
        </w:rPr>
      </w:pPr>
    </w:p>
    <w:p w:rsidR="00BF68F8" w:rsidRPr="00BF68F8" w:rsidRDefault="00BF68F8" w:rsidP="00BF68F8">
      <w:pPr>
        <w:pStyle w:val="NormalWeb"/>
        <w:spacing w:before="0" w:beforeAutospacing="0" w:after="0" w:afterAutospacing="0"/>
        <w:jc w:val="both"/>
        <w:rPr>
          <w:color w:val="414141"/>
          <w:sz w:val="28"/>
          <w:szCs w:val="28"/>
        </w:rPr>
      </w:pPr>
      <w:r w:rsidRPr="00BF68F8">
        <w:rPr>
          <w:b/>
          <w:bCs/>
          <w:color w:val="414141"/>
          <w:sz w:val="28"/>
          <w:szCs w:val="28"/>
        </w:rPr>
        <w:t>Kết quả đánh giá an toàn</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xml:space="preserve">Health Canada tiến hành đánh giá dựa trên cơ sở dữ liệu từ hệ thống báo cáo về phản ứng có hại của Canada </w:t>
      </w:r>
      <w:r w:rsidRPr="00BF68F8">
        <w:rPr>
          <w:i/>
          <w:iCs/>
          <w:color w:val="414141"/>
          <w:sz w:val="28"/>
          <w:szCs w:val="28"/>
        </w:rPr>
        <w:t>(Canada Vigilance)</w:t>
      </w:r>
      <w:r w:rsidRPr="00BF68F8">
        <w:rPr>
          <w:color w:val="414141"/>
          <w:sz w:val="28"/>
          <w:szCs w:val="28"/>
        </w:rPr>
        <w:t xml:space="preserve">, cơ sở dữ liệu phản ứng có hại của Tổ chức Y tế Thế giới </w:t>
      </w:r>
      <w:r w:rsidRPr="00BF68F8">
        <w:rPr>
          <w:i/>
          <w:iCs/>
          <w:color w:val="414141"/>
          <w:sz w:val="28"/>
          <w:szCs w:val="28"/>
        </w:rPr>
        <w:t>(WHO)</w:t>
      </w:r>
      <w:r w:rsidRPr="00BF68F8">
        <w:rPr>
          <w:color w:val="414141"/>
          <w:sz w:val="28"/>
          <w:szCs w:val="28"/>
        </w:rPr>
        <w:t xml:space="preserve"> và các tài liệu y văn hiện có:</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Về CSDL trong nước và quốc tế: Tại thời điểm rà soát, Health Canada ghi nhận 19 trường hợp xuất hiện xuất huyết ở bệnh nhân sau sử dụng các sản phẩm diosmin có hoặc không phối hợp với hesperidin, bao gồm 4 trường hợp tại Canada và 15 trường hợp từ các quốc gia khác (trong đó có 1 trường hợp đã được phân tích trong y văn). Trong số này,  4 trường hợp quốc tế được quy kết mối liên quan thuốc và ADR ở mức độ có thể. 15 trường hợp còn lại (4 trường hợp tại Canada và 11 trường hợp quốc tế) không thể đánh giá mối quan hệ nhân quả do thiếu thông tin lâm sàng hoặc do nhiều yếu tố gây nhiễu, như bệnh lý nền, việc sử dụng thuốc kê đơn hoặc các sản phẩm sức khỏe tự nhiên khác. Trong số các trường hợp không thể đánh giá này, có 2 trường hợp tử vong được ghi nhận, bao gồm 1 trường hợp tại Canada và 1 trường hợp quốc tế.</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Về y văn và dữ liệu thực tế lâm sàng: Các bằng chứng thu thập được cho thấy có nhiều yếu tố có thể làm gia tăng nguy cơ xuất huyết ở bệnh nhân sử dụng diosmin đơn độc hoặc diosmin phối hợp với hesperidin. Các nghiên cứu chỉ ra diosmin có khả năng ảnh hưởng đến quá trình dược động học của một số thuốc trong cơ thể, bao gồm thuốc chống đông máu, thông qua ảnh hưởng đến quá trình chuyển hóa và/hoặc thải trừ các thuốc này. Tương tác này có thể làm tăng nồng độ thuốc chống đông trong máu, từ đó làm tăng nguy cơ xuất huyết trên bệnh nhân. Một số nhà sản xuất tại Hoa Kỳ và Úc đã tự nguyện cập nhật nguy cơ xuất huyết trên nhãn các sản phẩm chứa diosmin đơn độc hoặc diosmin phối hợp với hesperidin, nhằm bổ sung cảnh báo về việc sử dụng đồng thời với thuốc chống đông hoặc trong các phẫu thuật, thủ thuật. Ngoài ra, các nghiên cứu cũng cho thấy bản thân các hoạt chất diosmin và hesperidin cũng có thể có tác dụng chống đông máu.</w:t>
      </w:r>
    </w:p>
    <w:p w:rsidR="00BF68F8" w:rsidRPr="00BF68F8" w:rsidRDefault="00BF68F8" w:rsidP="00BF68F8">
      <w:pPr>
        <w:pStyle w:val="NormalWeb"/>
        <w:spacing w:before="0" w:beforeAutospacing="0" w:after="0" w:afterAutospacing="0"/>
        <w:jc w:val="both"/>
        <w:rPr>
          <w:color w:val="414141"/>
          <w:sz w:val="28"/>
          <w:szCs w:val="28"/>
        </w:rPr>
      </w:pPr>
      <w:r w:rsidRPr="00BF68F8">
        <w:rPr>
          <w:b/>
          <w:bCs/>
          <w:color w:val="414141"/>
          <w:sz w:val="28"/>
          <w:szCs w:val="28"/>
        </w:rPr>
        <w:t>Kết luận và động thái từ Health Canada</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Sau khi hoàn tất đánh giá, Health Canada kết luận có mối liên quan giữa sử dụng diosmin có hoặc không phối hợp với hesperidin và gia tăng nguy cơ chảy máu trên bệnh nhân. Mặc dù nguy cơ xuất huyết có thể xuất hiện trên tất cả người dùng diosmin và hesperidin nói chung, tuy nhiên, các bằng chứng hiện nay cho thấy biến cố xuất huyết nghiêm trọng cao hơn được ghi nhận khi bệnh nhân đang được sử dụng đồng thời với thuốc chống đông. Theo đó, Health Canada sẽ tiến hành một số biện pháp giảm thiểu nguy cơ như sau:</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 Cập nhật các chuyên luận liên quan bổ sung khuyến cáo cần tham khảo ý kiến của nhân viên y tế trước khi sử dụng các chế phẩm này khi đang sử dụng các thuốc khác, bao gồm thuốc chống đông.</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xml:space="preserve">- Yêu cầu các nhà sản xuất cập nhật thông tin nguy cơ xuất huyết trên nhãn của tất cả các sản phẩm có nguồn gốc tự nhiên chứa diosmin hoặc diosmin phối hợp với hesperidin </w:t>
      </w:r>
      <w:r w:rsidRPr="00BF68F8">
        <w:rPr>
          <w:color w:val="414141"/>
          <w:sz w:val="28"/>
          <w:szCs w:val="28"/>
        </w:rPr>
        <w:lastRenderedPageBreak/>
        <w:t>đang được cấp phép lưu hành trên thị trường Canada. Nội dung cập nhật bao gồm khuyến cáo người dùng tham khảo ý kiến nhân viên y tế trước khi sử dụng nếu đang sử dụng các thuốc khác, đặc biệt là thuốc chống đông.</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xml:space="preserve"> - Tăng cường cảnh báo này đến nhân viên y tế và cộng động thông qua bản tin </w:t>
      </w:r>
      <w:r w:rsidRPr="00BF68F8">
        <w:rPr>
          <w:i/>
          <w:iCs/>
          <w:color w:val="414141"/>
          <w:sz w:val="28"/>
          <w:szCs w:val="28"/>
        </w:rPr>
        <w:t>Health Product InfoWatch</w:t>
      </w:r>
      <w:r w:rsidRPr="00BF68F8">
        <w:rPr>
          <w:color w:val="414141"/>
          <w:sz w:val="28"/>
          <w:szCs w:val="28"/>
        </w:rPr>
        <w:t>.</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 Khuyến khích nhân viên y tế tích cực giám sát các biến cố bất lợi liên quan</w:t>
      </w:r>
      <w:r w:rsidRPr="00BF68F8">
        <w:rPr>
          <w:b/>
          <w:bCs/>
          <w:color w:val="414141"/>
          <w:sz w:val="28"/>
          <w:szCs w:val="28"/>
        </w:rPr>
        <w:t xml:space="preserve"> </w:t>
      </w:r>
      <w:r w:rsidRPr="00BF68F8">
        <w:rPr>
          <w:color w:val="414141"/>
          <w:sz w:val="28"/>
          <w:szCs w:val="28"/>
        </w:rPr>
        <w:t>diosmin hoặc hesperidin. </w:t>
      </w:r>
    </w:p>
    <w:p w:rsidR="00BF68F8" w:rsidRPr="00BF68F8" w:rsidRDefault="00BF68F8" w:rsidP="00BF68F8">
      <w:pPr>
        <w:pStyle w:val="NormalWeb"/>
        <w:spacing w:before="0" w:beforeAutospacing="0" w:after="0" w:afterAutospacing="0"/>
        <w:jc w:val="both"/>
        <w:rPr>
          <w:color w:val="414141"/>
          <w:sz w:val="28"/>
          <w:szCs w:val="28"/>
        </w:rPr>
      </w:pPr>
      <w:r w:rsidRPr="00BF68F8">
        <w:rPr>
          <w:color w:val="414141"/>
          <w:sz w:val="28"/>
          <w:szCs w:val="28"/>
        </w:rPr>
        <w:t> - Health Canada sẽ tiếp tục theo dõi dữ liệu an toàn liên quan đến các sản phẩm chứa diosmin và/hoặc hesperidin nhằm phát hiện, đánh giá và quản lý kịp thời các nguy cơ tiềm ẩn có thể ảnh hưởng đến sức khỏe cộng đồng.</w:t>
      </w:r>
    </w:p>
    <w:p w:rsidR="00AE6FD9" w:rsidRPr="00BF68F8" w:rsidRDefault="00BF68F8" w:rsidP="00BF68F8">
      <w:pPr>
        <w:pStyle w:val="NormalWeb"/>
        <w:spacing w:before="0" w:beforeAutospacing="0" w:after="0" w:afterAutospacing="0"/>
        <w:rPr>
          <w:color w:val="414141"/>
          <w:sz w:val="28"/>
          <w:szCs w:val="28"/>
        </w:rPr>
      </w:pPr>
      <w:r w:rsidRPr="00BF68F8">
        <w:rPr>
          <w:color w:val="414141"/>
          <w:sz w:val="28"/>
          <w:szCs w:val="28"/>
        </w:rPr>
        <w:t>Nguồn: </w:t>
      </w:r>
      <w:hyperlink r:id="rId11" w:history="1">
        <w:r w:rsidRPr="00BF68F8">
          <w:rPr>
            <w:rStyle w:val="Hyperlink"/>
            <w:sz w:val="28"/>
            <w:szCs w:val="28"/>
            <w:u w:val="none"/>
            <w:bdr w:val="none" w:sz="0" w:space="0" w:color="auto" w:frame="1"/>
          </w:rPr>
          <w:t>https://dhpp.hpfb-dgpsa.ca/review-documents/resource/SSR1775582460008</w:t>
        </w:r>
        <w:r w:rsidRPr="00BF68F8">
          <w:rPr>
            <w:color w:val="0000FF"/>
            <w:sz w:val="28"/>
            <w:szCs w:val="28"/>
            <w:bdr w:val="none" w:sz="0" w:space="0" w:color="auto" w:frame="1"/>
          </w:rPr>
          <w:br/>
        </w:r>
      </w:hyperlink>
    </w:p>
    <w:p w:rsidR="00A033E8" w:rsidRPr="008E0758" w:rsidRDefault="000C63FE" w:rsidP="00913253">
      <w:pPr>
        <w:shd w:val="clear" w:color="auto" w:fill="FFFFFF"/>
        <w:spacing w:after="0" w:line="240" w:lineRule="auto"/>
        <w:ind w:left="4320" w:firstLine="720"/>
        <w:jc w:val="both"/>
        <w:rPr>
          <w:rFonts w:ascii="Times New Roman" w:eastAsia="Times New Roman" w:hAnsi="Times New Roman" w:cs="Times New Roman"/>
          <w:sz w:val="28"/>
          <w:szCs w:val="28"/>
          <w:lang w:val="vi-VN"/>
        </w:rPr>
      </w:pPr>
      <w:r w:rsidRPr="008E0758">
        <w:rPr>
          <w:rFonts w:ascii="Times New Roman" w:hAnsi="Times New Roman" w:cs="Times New Roman"/>
          <w:b/>
          <w:sz w:val="28"/>
          <w:szCs w:val="28"/>
          <w:lang w:val="vi-VN"/>
        </w:rPr>
        <w:t>ĐƠN VỊ THÔNG TIN THUỐC</w:t>
      </w:r>
      <w:bookmarkEnd w:id="0"/>
    </w:p>
    <w:sectPr w:rsidR="00A033E8" w:rsidRPr="008E0758" w:rsidSect="006440D9">
      <w:footerReference w:type="default" r:id="rId12"/>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C48" w:rsidRDefault="00DF1C48" w:rsidP="006645AB">
      <w:pPr>
        <w:spacing w:after="0" w:line="240" w:lineRule="auto"/>
      </w:pPr>
      <w:r>
        <w:separator/>
      </w:r>
    </w:p>
  </w:endnote>
  <w:endnote w:type="continuationSeparator" w:id="1">
    <w:p w:rsidR="00DF1C48" w:rsidRDefault="00DF1C48" w:rsidP="00664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862223"/>
      <w:docPartObj>
        <w:docPartGallery w:val="Page Numbers (Bottom of Page)"/>
        <w:docPartUnique/>
      </w:docPartObj>
    </w:sdtPr>
    <w:sdtEndPr>
      <w:rPr>
        <w:noProof/>
      </w:rPr>
    </w:sdtEndPr>
    <w:sdtContent>
      <w:p w:rsidR="006645AB" w:rsidRDefault="00B43D4F">
        <w:pPr>
          <w:pStyle w:val="Footer"/>
          <w:jc w:val="center"/>
        </w:pPr>
        <w:r>
          <w:fldChar w:fldCharType="begin"/>
        </w:r>
        <w:r w:rsidR="006645AB">
          <w:instrText xml:space="preserve"> PAGE   \* MERGEFORMAT </w:instrText>
        </w:r>
        <w:r>
          <w:fldChar w:fldCharType="separate"/>
        </w:r>
        <w:r w:rsidR="006440D9">
          <w:rPr>
            <w:noProof/>
          </w:rPr>
          <w:t>8</w:t>
        </w:r>
        <w:r>
          <w:rPr>
            <w:noProof/>
          </w:rPr>
          <w:fldChar w:fldCharType="end"/>
        </w:r>
      </w:p>
    </w:sdtContent>
  </w:sdt>
  <w:p w:rsidR="006645AB" w:rsidRDefault="006645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C48" w:rsidRDefault="00DF1C48" w:rsidP="006645AB">
      <w:pPr>
        <w:spacing w:after="0" w:line="240" w:lineRule="auto"/>
      </w:pPr>
      <w:r>
        <w:separator/>
      </w:r>
    </w:p>
  </w:footnote>
  <w:footnote w:type="continuationSeparator" w:id="1">
    <w:p w:rsidR="00DF1C48" w:rsidRDefault="00DF1C48" w:rsidP="006645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A79F2"/>
    <w:multiLevelType w:val="multilevel"/>
    <w:tmpl w:val="3A5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560EF7"/>
    <w:multiLevelType w:val="hybridMultilevel"/>
    <w:tmpl w:val="A7527A3A"/>
    <w:lvl w:ilvl="0" w:tplc="28BC32AE">
      <w:start w:val="1"/>
      <w:numFmt w:val="upperRoman"/>
      <w:lvlText w:val="%1."/>
      <w:lvlJc w:val="left"/>
      <w:pPr>
        <w:ind w:left="1080" w:hanging="720"/>
      </w:pPr>
      <w:rPr>
        <w:rFonts w:ascii="Times New Roman" w:eastAsia="Times New Roman" w:hAnsi="Times New Roman" w:cs="Times New Roman" w:hint="default"/>
        <w:b/>
        <w:color w:val="FF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642140"/>
    <w:multiLevelType w:val="multilevel"/>
    <w:tmpl w:val="AC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893315"/>
    <w:multiLevelType w:val="multilevel"/>
    <w:tmpl w:val="E7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E12FF"/>
    <w:rsid w:val="00010FB5"/>
    <w:rsid w:val="000211E6"/>
    <w:rsid w:val="00033F01"/>
    <w:rsid w:val="000431C9"/>
    <w:rsid w:val="0005386F"/>
    <w:rsid w:val="000606B0"/>
    <w:rsid w:val="000706A1"/>
    <w:rsid w:val="000849CF"/>
    <w:rsid w:val="000B2C52"/>
    <w:rsid w:val="000B5EE5"/>
    <w:rsid w:val="000C63FE"/>
    <w:rsid w:val="000E1114"/>
    <w:rsid w:val="000F0C74"/>
    <w:rsid w:val="00121A9F"/>
    <w:rsid w:val="00125750"/>
    <w:rsid w:val="001372DB"/>
    <w:rsid w:val="0017133E"/>
    <w:rsid w:val="001B2B14"/>
    <w:rsid w:val="001D1DFF"/>
    <w:rsid w:val="00253AA9"/>
    <w:rsid w:val="00260377"/>
    <w:rsid w:val="0026312D"/>
    <w:rsid w:val="002952B9"/>
    <w:rsid w:val="002E2C7D"/>
    <w:rsid w:val="002F1183"/>
    <w:rsid w:val="00330992"/>
    <w:rsid w:val="00341298"/>
    <w:rsid w:val="00363D67"/>
    <w:rsid w:val="00365AA9"/>
    <w:rsid w:val="00386112"/>
    <w:rsid w:val="00394C30"/>
    <w:rsid w:val="0039605C"/>
    <w:rsid w:val="003A15F4"/>
    <w:rsid w:val="003A3131"/>
    <w:rsid w:val="003D2067"/>
    <w:rsid w:val="003D5314"/>
    <w:rsid w:val="00410056"/>
    <w:rsid w:val="00413406"/>
    <w:rsid w:val="004206A1"/>
    <w:rsid w:val="00425B82"/>
    <w:rsid w:val="00445F6B"/>
    <w:rsid w:val="00461790"/>
    <w:rsid w:val="00465003"/>
    <w:rsid w:val="004746FA"/>
    <w:rsid w:val="004A0FC2"/>
    <w:rsid w:val="004B54FE"/>
    <w:rsid w:val="004B603B"/>
    <w:rsid w:val="004C6AB2"/>
    <w:rsid w:val="004E12FF"/>
    <w:rsid w:val="004F1270"/>
    <w:rsid w:val="00521983"/>
    <w:rsid w:val="00522D2A"/>
    <w:rsid w:val="0053002F"/>
    <w:rsid w:val="0056267A"/>
    <w:rsid w:val="005718E0"/>
    <w:rsid w:val="005A387B"/>
    <w:rsid w:val="005A6DD6"/>
    <w:rsid w:val="005A736D"/>
    <w:rsid w:val="005C1892"/>
    <w:rsid w:val="005D4146"/>
    <w:rsid w:val="005F073A"/>
    <w:rsid w:val="00611457"/>
    <w:rsid w:val="00616A77"/>
    <w:rsid w:val="006440D9"/>
    <w:rsid w:val="0064571F"/>
    <w:rsid w:val="00647B2E"/>
    <w:rsid w:val="006645AB"/>
    <w:rsid w:val="006737C0"/>
    <w:rsid w:val="006843A0"/>
    <w:rsid w:val="00685301"/>
    <w:rsid w:val="0070727E"/>
    <w:rsid w:val="00710C9D"/>
    <w:rsid w:val="007130E2"/>
    <w:rsid w:val="00725083"/>
    <w:rsid w:val="0076029D"/>
    <w:rsid w:val="0076514E"/>
    <w:rsid w:val="00773810"/>
    <w:rsid w:val="00792F41"/>
    <w:rsid w:val="007A4AFE"/>
    <w:rsid w:val="007A60A4"/>
    <w:rsid w:val="007C2300"/>
    <w:rsid w:val="007E4E88"/>
    <w:rsid w:val="00812888"/>
    <w:rsid w:val="00833F0D"/>
    <w:rsid w:val="008731FE"/>
    <w:rsid w:val="00891971"/>
    <w:rsid w:val="008B1E25"/>
    <w:rsid w:val="008B3222"/>
    <w:rsid w:val="008C0EE0"/>
    <w:rsid w:val="008D1E49"/>
    <w:rsid w:val="008D1E85"/>
    <w:rsid w:val="008E0758"/>
    <w:rsid w:val="008F5FDE"/>
    <w:rsid w:val="009059A9"/>
    <w:rsid w:val="0090699A"/>
    <w:rsid w:val="00913253"/>
    <w:rsid w:val="00922A6B"/>
    <w:rsid w:val="00933DCD"/>
    <w:rsid w:val="009532CD"/>
    <w:rsid w:val="00964C01"/>
    <w:rsid w:val="009D541F"/>
    <w:rsid w:val="009E5A26"/>
    <w:rsid w:val="009F5F93"/>
    <w:rsid w:val="00A033E8"/>
    <w:rsid w:val="00A13B8F"/>
    <w:rsid w:val="00AC3F1A"/>
    <w:rsid w:val="00AE6FD9"/>
    <w:rsid w:val="00AF0855"/>
    <w:rsid w:val="00B05CB1"/>
    <w:rsid w:val="00B12F8E"/>
    <w:rsid w:val="00B43D4F"/>
    <w:rsid w:val="00B50A11"/>
    <w:rsid w:val="00B561FE"/>
    <w:rsid w:val="00B74538"/>
    <w:rsid w:val="00B81B37"/>
    <w:rsid w:val="00BF68F8"/>
    <w:rsid w:val="00C05B8B"/>
    <w:rsid w:val="00C12063"/>
    <w:rsid w:val="00C1592A"/>
    <w:rsid w:val="00C21CD5"/>
    <w:rsid w:val="00C273CE"/>
    <w:rsid w:val="00C3464F"/>
    <w:rsid w:val="00C459C7"/>
    <w:rsid w:val="00C46400"/>
    <w:rsid w:val="00C54770"/>
    <w:rsid w:val="00C75D27"/>
    <w:rsid w:val="00CB2A00"/>
    <w:rsid w:val="00CF000F"/>
    <w:rsid w:val="00CF6B9B"/>
    <w:rsid w:val="00D16336"/>
    <w:rsid w:val="00D33566"/>
    <w:rsid w:val="00D533E4"/>
    <w:rsid w:val="00D66F52"/>
    <w:rsid w:val="00D9199D"/>
    <w:rsid w:val="00D95F96"/>
    <w:rsid w:val="00DA21CD"/>
    <w:rsid w:val="00DB7F6A"/>
    <w:rsid w:val="00DD588E"/>
    <w:rsid w:val="00DF1C48"/>
    <w:rsid w:val="00E216C2"/>
    <w:rsid w:val="00E8207C"/>
    <w:rsid w:val="00E83F4B"/>
    <w:rsid w:val="00E84163"/>
    <w:rsid w:val="00E86628"/>
    <w:rsid w:val="00E9235A"/>
    <w:rsid w:val="00E95064"/>
    <w:rsid w:val="00E960FE"/>
    <w:rsid w:val="00E96B67"/>
    <w:rsid w:val="00EC0B4A"/>
    <w:rsid w:val="00F44F44"/>
    <w:rsid w:val="00F51A86"/>
    <w:rsid w:val="00F73E5F"/>
    <w:rsid w:val="00F9765E"/>
    <w:rsid w:val="00FA17D0"/>
    <w:rsid w:val="00FB441D"/>
    <w:rsid w:val="00FD172E"/>
    <w:rsid w:val="00FD192B"/>
    <w:rsid w:val="00FD2DB8"/>
    <w:rsid w:val="00FE1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D4F"/>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38211216">
      <w:bodyDiv w:val="1"/>
      <w:marLeft w:val="0"/>
      <w:marRight w:val="0"/>
      <w:marTop w:val="0"/>
      <w:marBottom w:val="0"/>
      <w:divBdr>
        <w:top w:val="none" w:sz="0" w:space="0" w:color="auto"/>
        <w:left w:val="none" w:sz="0" w:space="0" w:color="auto"/>
        <w:bottom w:val="none" w:sz="0" w:space="0" w:color="auto"/>
        <w:right w:val="none" w:sz="0" w:space="0" w:color="auto"/>
      </w:divBdr>
      <w:divsChild>
        <w:div w:id="1927491848">
          <w:marLeft w:val="0"/>
          <w:marRight w:val="0"/>
          <w:marTop w:val="0"/>
          <w:marBottom w:val="0"/>
          <w:divBdr>
            <w:top w:val="none" w:sz="0" w:space="0" w:color="auto"/>
            <w:left w:val="none" w:sz="0" w:space="0" w:color="auto"/>
            <w:bottom w:val="none" w:sz="0" w:space="0" w:color="auto"/>
            <w:right w:val="none" w:sz="0" w:space="0" w:color="auto"/>
          </w:divBdr>
        </w:div>
        <w:div w:id="115175398">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10334091">
      <w:bodyDiv w:val="1"/>
      <w:marLeft w:val="0"/>
      <w:marRight w:val="0"/>
      <w:marTop w:val="0"/>
      <w:marBottom w:val="0"/>
      <w:divBdr>
        <w:top w:val="none" w:sz="0" w:space="0" w:color="auto"/>
        <w:left w:val="none" w:sz="0" w:space="0" w:color="auto"/>
        <w:bottom w:val="none" w:sz="0" w:space="0" w:color="auto"/>
        <w:right w:val="none" w:sz="0" w:space="0" w:color="auto"/>
      </w:divBdr>
      <w:divsChild>
        <w:div w:id="1673796735">
          <w:marLeft w:val="0"/>
          <w:marRight w:val="0"/>
          <w:marTop w:val="0"/>
          <w:marBottom w:val="75"/>
          <w:divBdr>
            <w:top w:val="none" w:sz="0" w:space="0" w:color="auto"/>
            <w:left w:val="none" w:sz="0" w:space="0" w:color="auto"/>
            <w:bottom w:val="none" w:sz="0" w:space="0" w:color="auto"/>
            <w:right w:val="none" w:sz="0" w:space="0" w:color="auto"/>
          </w:divBdr>
          <w:divsChild>
            <w:div w:id="546261376">
              <w:marLeft w:val="195"/>
              <w:marRight w:val="195"/>
              <w:marTop w:val="0"/>
              <w:marBottom w:val="0"/>
              <w:divBdr>
                <w:top w:val="none" w:sz="0" w:space="0" w:color="auto"/>
                <w:left w:val="none" w:sz="0" w:space="0" w:color="auto"/>
                <w:bottom w:val="none" w:sz="0" w:space="0" w:color="auto"/>
                <w:right w:val="none" w:sz="0" w:space="0" w:color="auto"/>
              </w:divBdr>
            </w:div>
          </w:divsChild>
        </w:div>
        <w:div w:id="420612744">
          <w:marLeft w:val="0"/>
          <w:marRight w:val="0"/>
          <w:marTop w:val="0"/>
          <w:marBottom w:val="0"/>
          <w:divBdr>
            <w:top w:val="none" w:sz="0" w:space="0" w:color="auto"/>
            <w:left w:val="none" w:sz="0" w:space="0" w:color="auto"/>
            <w:bottom w:val="none" w:sz="0" w:space="0" w:color="auto"/>
            <w:right w:val="none" w:sz="0" w:space="0" w:color="auto"/>
          </w:divBdr>
          <w:divsChild>
            <w:div w:id="687218508">
              <w:marLeft w:val="0"/>
              <w:marRight w:val="0"/>
              <w:marTop w:val="0"/>
              <w:marBottom w:val="0"/>
              <w:divBdr>
                <w:top w:val="none" w:sz="0" w:space="0" w:color="auto"/>
                <w:left w:val="none" w:sz="0" w:space="0" w:color="auto"/>
                <w:bottom w:val="none" w:sz="0" w:space="0" w:color="auto"/>
                <w:right w:val="none" w:sz="0" w:space="0" w:color="auto"/>
              </w:divBdr>
              <w:divsChild>
                <w:div w:id="71901056">
                  <w:marLeft w:val="0"/>
                  <w:marRight w:val="0"/>
                  <w:marTop w:val="0"/>
                  <w:marBottom w:val="150"/>
                  <w:divBdr>
                    <w:top w:val="none" w:sz="0" w:space="0" w:color="auto"/>
                    <w:left w:val="none" w:sz="0" w:space="0" w:color="auto"/>
                    <w:bottom w:val="none" w:sz="0" w:space="0" w:color="auto"/>
                    <w:right w:val="none" w:sz="0" w:space="0" w:color="auto"/>
                  </w:divBdr>
                </w:div>
                <w:div w:id="104664897">
                  <w:marLeft w:val="0"/>
                  <w:marRight w:val="0"/>
                  <w:marTop w:val="0"/>
                  <w:marBottom w:val="150"/>
                  <w:divBdr>
                    <w:top w:val="none" w:sz="0" w:space="0" w:color="auto"/>
                    <w:left w:val="none" w:sz="0" w:space="0" w:color="auto"/>
                    <w:bottom w:val="none" w:sz="0" w:space="0" w:color="auto"/>
                    <w:right w:val="none" w:sz="0" w:space="0" w:color="auto"/>
                  </w:divBdr>
                </w:div>
                <w:div w:id="1328442743">
                  <w:marLeft w:val="0"/>
                  <w:marRight w:val="0"/>
                  <w:marTop w:val="0"/>
                  <w:marBottom w:val="150"/>
                  <w:divBdr>
                    <w:top w:val="none" w:sz="0" w:space="0" w:color="auto"/>
                    <w:left w:val="none" w:sz="0" w:space="0" w:color="auto"/>
                    <w:bottom w:val="none" w:sz="0" w:space="0" w:color="auto"/>
                    <w:right w:val="none" w:sz="0" w:space="0" w:color="auto"/>
                  </w:divBdr>
                </w:div>
              </w:divsChild>
            </w:div>
            <w:div w:id="43868831">
              <w:marLeft w:val="0"/>
              <w:marRight w:val="0"/>
              <w:marTop w:val="0"/>
              <w:marBottom w:val="0"/>
              <w:divBdr>
                <w:top w:val="none" w:sz="0" w:space="0" w:color="auto"/>
                <w:left w:val="none" w:sz="0" w:space="0" w:color="auto"/>
                <w:bottom w:val="none" w:sz="0" w:space="0" w:color="auto"/>
                <w:right w:val="none" w:sz="0" w:space="0" w:color="auto"/>
              </w:divBdr>
              <w:divsChild>
                <w:div w:id="260139302">
                  <w:marLeft w:val="0"/>
                  <w:marRight w:val="0"/>
                  <w:marTop w:val="0"/>
                  <w:marBottom w:val="0"/>
                  <w:divBdr>
                    <w:top w:val="none" w:sz="0" w:space="0" w:color="auto"/>
                    <w:left w:val="none" w:sz="0" w:space="0" w:color="auto"/>
                    <w:bottom w:val="none" w:sz="0" w:space="0" w:color="auto"/>
                    <w:right w:val="none" w:sz="0" w:space="0" w:color="auto"/>
                  </w:divBdr>
                  <w:divsChild>
                    <w:div w:id="1464930255">
                      <w:marLeft w:val="0"/>
                      <w:marRight w:val="0"/>
                      <w:marTop w:val="0"/>
                      <w:marBottom w:val="0"/>
                      <w:divBdr>
                        <w:top w:val="none" w:sz="0" w:space="0" w:color="auto"/>
                        <w:left w:val="none" w:sz="0" w:space="0" w:color="auto"/>
                        <w:bottom w:val="none" w:sz="0" w:space="0" w:color="auto"/>
                        <w:right w:val="none" w:sz="0" w:space="0" w:color="auto"/>
                      </w:divBdr>
                      <w:divsChild>
                        <w:div w:id="898638075">
                          <w:marLeft w:val="0"/>
                          <w:marRight w:val="0"/>
                          <w:marTop w:val="0"/>
                          <w:marBottom w:val="0"/>
                          <w:divBdr>
                            <w:top w:val="none" w:sz="0" w:space="0" w:color="auto"/>
                            <w:left w:val="none" w:sz="0" w:space="0" w:color="auto"/>
                            <w:bottom w:val="none" w:sz="0" w:space="0" w:color="auto"/>
                            <w:right w:val="none" w:sz="0" w:space="0" w:color="auto"/>
                          </w:divBdr>
                          <w:divsChild>
                            <w:div w:id="1370107542">
                              <w:marLeft w:val="0"/>
                              <w:marRight w:val="0"/>
                              <w:marTop w:val="0"/>
                              <w:marBottom w:val="0"/>
                              <w:divBdr>
                                <w:top w:val="single" w:sz="6" w:space="8" w:color="DCDBE3"/>
                                <w:left w:val="none" w:sz="0" w:space="0" w:color="auto"/>
                                <w:bottom w:val="none" w:sz="0" w:space="0" w:color="auto"/>
                                <w:right w:val="none" w:sz="0" w:space="0" w:color="auto"/>
                              </w:divBdr>
                              <w:divsChild>
                                <w:div w:id="716666298">
                                  <w:marLeft w:val="0"/>
                                  <w:marRight w:val="0"/>
                                  <w:marTop w:val="0"/>
                                  <w:marBottom w:val="0"/>
                                  <w:divBdr>
                                    <w:top w:val="none" w:sz="0" w:space="0" w:color="auto"/>
                                    <w:left w:val="none" w:sz="0" w:space="0" w:color="auto"/>
                                    <w:bottom w:val="none" w:sz="0" w:space="0" w:color="auto"/>
                                    <w:right w:val="none" w:sz="0" w:space="0" w:color="auto"/>
                                  </w:divBdr>
                                </w:div>
                                <w:div w:id="848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706880">
      <w:bodyDiv w:val="1"/>
      <w:marLeft w:val="0"/>
      <w:marRight w:val="0"/>
      <w:marTop w:val="0"/>
      <w:marBottom w:val="0"/>
      <w:divBdr>
        <w:top w:val="none" w:sz="0" w:space="0" w:color="auto"/>
        <w:left w:val="none" w:sz="0" w:space="0" w:color="auto"/>
        <w:bottom w:val="none" w:sz="0" w:space="0" w:color="auto"/>
        <w:right w:val="none" w:sz="0" w:space="0" w:color="auto"/>
      </w:divBdr>
      <w:divsChild>
        <w:div w:id="1102456411">
          <w:marLeft w:val="0"/>
          <w:marRight w:val="0"/>
          <w:marTop w:val="0"/>
          <w:marBottom w:val="0"/>
          <w:divBdr>
            <w:top w:val="none" w:sz="0" w:space="0" w:color="auto"/>
            <w:left w:val="none" w:sz="0" w:space="0" w:color="auto"/>
            <w:bottom w:val="none" w:sz="0" w:space="0" w:color="auto"/>
            <w:right w:val="none" w:sz="0" w:space="0" w:color="auto"/>
          </w:divBdr>
        </w:div>
        <w:div w:id="4093967">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41050921">
      <w:bodyDiv w:val="1"/>
      <w:marLeft w:val="0"/>
      <w:marRight w:val="0"/>
      <w:marTop w:val="0"/>
      <w:marBottom w:val="0"/>
      <w:divBdr>
        <w:top w:val="none" w:sz="0" w:space="0" w:color="auto"/>
        <w:left w:val="none" w:sz="0" w:space="0" w:color="auto"/>
        <w:bottom w:val="none" w:sz="0" w:space="0" w:color="auto"/>
        <w:right w:val="none" w:sz="0" w:space="0" w:color="auto"/>
      </w:divBdr>
      <w:divsChild>
        <w:div w:id="266431873">
          <w:marLeft w:val="0"/>
          <w:marRight w:val="0"/>
          <w:marTop w:val="0"/>
          <w:marBottom w:val="0"/>
          <w:divBdr>
            <w:top w:val="none" w:sz="0" w:space="0" w:color="auto"/>
            <w:left w:val="none" w:sz="0" w:space="0" w:color="auto"/>
            <w:bottom w:val="none" w:sz="0" w:space="0" w:color="auto"/>
            <w:right w:val="none" w:sz="0" w:space="0" w:color="auto"/>
          </w:divBdr>
        </w:div>
        <w:div w:id="431707179">
          <w:marLeft w:val="0"/>
          <w:marRight w:val="0"/>
          <w:marTop w:val="0"/>
          <w:marBottom w:val="0"/>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5121">
      <w:bodyDiv w:val="1"/>
      <w:marLeft w:val="0"/>
      <w:marRight w:val="0"/>
      <w:marTop w:val="0"/>
      <w:marBottom w:val="0"/>
      <w:divBdr>
        <w:top w:val="none" w:sz="0" w:space="0" w:color="auto"/>
        <w:left w:val="none" w:sz="0" w:space="0" w:color="auto"/>
        <w:bottom w:val="none" w:sz="0" w:space="0" w:color="auto"/>
        <w:right w:val="none" w:sz="0" w:space="0" w:color="auto"/>
      </w:divBdr>
      <w:divsChild>
        <w:div w:id="846598810">
          <w:marLeft w:val="0"/>
          <w:marRight w:val="0"/>
          <w:marTop w:val="0"/>
          <w:marBottom w:val="0"/>
          <w:divBdr>
            <w:top w:val="none" w:sz="0" w:space="0" w:color="auto"/>
            <w:left w:val="none" w:sz="0" w:space="0" w:color="auto"/>
            <w:bottom w:val="none" w:sz="0" w:space="0" w:color="auto"/>
            <w:right w:val="none" w:sz="0" w:space="0" w:color="auto"/>
          </w:divBdr>
        </w:div>
        <w:div w:id="712583211">
          <w:marLeft w:val="0"/>
          <w:marRight w:val="0"/>
          <w:marTop w:val="0"/>
          <w:marBottom w:val="0"/>
          <w:divBdr>
            <w:top w:val="none" w:sz="0" w:space="0" w:color="auto"/>
            <w:left w:val="none" w:sz="0" w:space="0" w:color="auto"/>
            <w:bottom w:val="none" w:sz="0" w:space="0" w:color="auto"/>
            <w:right w:val="none" w:sz="0" w:space="0" w:color="auto"/>
          </w:divBdr>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87095115">
      <w:bodyDiv w:val="1"/>
      <w:marLeft w:val="0"/>
      <w:marRight w:val="0"/>
      <w:marTop w:val="0"/>
      <w:marBottom w:val="0"/>
      <w:divBdr>
        <w:top w:val="none" w:sz="0" w:space="0" w:color="auto"/>
        <w:left w:val="none" w:sz="0" w:space="0" w:color="auto"/>
        <w:bottom w:val="none" w:sz="0" w:space="0" w:color="auto"/>
        <w:right w:val="none" w:sz="0" w:space="0" w:color="auto"/>
      </w:divBdr>
    </w:div>
    <w:div w:id="4943436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98">
          <w:marLeft w:val="0"/>
          <w:marRight w:val="0"/>
          <w:marTop w:val="0"/>
          <w:marBottom w:val="0"/>
          <w:divBdr>
            <w:top w:val="none" w:sz="0" w:space="0" w:color="auto"/>
            <w:left w:val="none" w:sz="0" w:space="0" w:color="auto"/>
            <w:bottom w:val="none" w:sz="0" w:space="0" w:color="auto"/>
            <w:right w:val="none" w:sz="0" w:space="0" w:color="auto"/>
          </w:divBdr>
        </w:div>
        <w:div w:id="161775965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38695">
      <w:bodyDiv w:val="1"/>
      <w:marLeft w:val="0"/>
      <w:marRight w:val="0"/>
      <w:marTop w:val="0"/>
      <w:marBottom w:val="0"/>
      <w:divBdr>
        <w:top w:val="none" w:sz="0" w:space="0" w:color="auto"/>
        <w:left w:val="none" w:sz="0" w:space="0" w:color="auto"/>
        <w:bottom w:val="none" w:sz="0" w:space="0" w:color="auto"/>
        <w:right w:val="none" w:sz="0" w:space="0" w:color="auto"/>
      </w:divBdr>
      <w:divsChild>
        <w:div w:id="464390468">
          <w:marLeft w:val="0"/>
          <w:marRight w:val="0"/>
          <w:marTop w:val="0"/>
          <w:marBottom w:val="75"/>
          <w:divBdr>
            <w:top w:val="none" w:sz="0" w:space="0" w:color="auto"/>
            <w:left w:val="none" w:sz="0" w:space="0" w:color="auto"/>
            <w:bottom w:val="none" w:sz="0" w:space="0" w:color="auto"/>
            <w:right w:val="none" w:sz="0" w:space="0" w:color="auto"/>
          </w:divBdr>
          <w:divsChild>
            <w:div w:id="1283876933">
              <w:marLeft w:val="0"/>
              <w:marRight w:val="0"/>
              <w:marTop w:val="0"/>
              <w:marBottom w:val="0"/>
              <w:divBdr>
                <w:top w:val="none" w:sz="0" w:space="0" w:color="auto"/>
                <w:left w:val="none" w:sz="0" w:space="0" w:color="auto"/>
                <w:bottom w:val="none" w:sz="0" w:space="0" w:color="auto"/>
                <w:right w:val="none" w:sz="0" w:space="0" w:color="auto"/>
              </w:divBdr>
            </w:div>
            <w:div w:id="1425688338">
              <w:marLeft w:val="0"/>
              <w:marRight w:val="0"/>
              <w:marTop w:val="0"/>
              <w:marBottom w:val="0"/>
              <w:divBdr>
                <w:top w:val="none" w:sz="0" w:space="0" w:color="auto"/>
                <w:left w:val="none" w:sz="0" w:space="0" w:color="auto"/>
                <w:bottom w:val="none" w:sz="0" w:space="0" w:color="auto"/>
                <w:right w:val="none" w:sz="0" w:space="0" w:color="auto"/>
              </w:divBdr>
            </w:div>
          </w:divsChild>
        </w:div>
        <w:div w:id="1904369192">
          <w:marLeft w:val="0"/>
          <w:marRight w:val="0"/>
          <w:marTop w:val="0"/>
          <w:marBottom w:val="75"/>
          <w:divBdr>
            <w:top w:val="none" w:sz="0" w:space="0" w:color="auto"/>
            <w:left w:val="none" w:sz="0" w:space="0" w:color="auto"/>
            <w:bottom w:val="none" w:sz="0" w:space="0" w:color="auto"/>
            <w:right w:val="none" w:sz="0" w:space="0" w:color="auto"/>
          </w:divBdr>
        </w:div>
        <w:div w:id="1276062520">
          <w:marLeft w:val="0"/>
          <w:marRight w:val="0"/>
          <w:marTop w:val="0"/>
          <w:marBottom w:val="75"/>
          <w:divBdr>
            <w:top w:val="none" w:sz="0" w:space="0" w:color="auto"/>
            <w:left w:val="none" w:sz="0" w:space="0" w:color="auto"/>
            <w:bottom w:val="none" w:sz="0" w:space="0" w:color="auto"/>
            <w:right w:val="none" w:sz="0" w:space="0" w:color="auto"/>
          </w:divBdr>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21097143">
      <w:bodyDiv w:val="1"/>
      <w:marLeft w:val="0"/>
      <w:marRight w:val="0"/>
      <w:marTop w:val="0"/>
      <w:marBottom w:val="0"/>
      <w:divBdr>
        <w:top w:val="none" w:sz="0" w:space="0" w:color="auto"/>
        <w:left w:val="none" w:sz="0" w:space="0" w:color="auto"/>
        <w:bottom w:val="none" w:sz="0" w:space="0" w:color="auto"/>
        <w:right w:val="none" w:sz="0" w:space="0" w:color="auto"/>
      </w:divBdr>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29096890">
      <w:bodyDiv w:val="1"/>
      <w:marLeft w:val="0"/>
      <w:marRight w:val="0"/>
      <w:marTop w:val="0"/>
      <w:marBottom w:val="0"/>
      <w:divBdr>
        <w:top w:val="none" w:sz="0" w:space="0" w:color="auto"/>
        <w:left w:val="none" w:sz="0" w:space="0" w:color="auto"/>
        <w:bottom w:val="none" w:sz="0" w:space="0" w:color="auto"/>
        <w:right w:val="none" w:sz="0" w:space="0" w:color="auto"/>
      </w:divBdr>
      <w:divsChild>
        <w:div w:id="321079680">
          <w:marLeft w:val="0"/>
          <w:marRight w:val="0"/>
          <w:marTop w:val="0"/>
          <w:marBottom w:val="0"/>
          <w:divBdr>
            <w:top w:val="none" w:sz="0" w:space="0" w:color="auto"/>
            <w:left w:val="none" w:sz="0" w:space="0" w:color="auto"/>
            <w:bottom w:val="none" w:sz="0" w:space="0" w:color="auto"/>
            <w:right w:val="none" w:sz="0" w:space="0" w:color="auto"/>
          </w:divBdr>
        </w:div>
        <w:div w:id="1083335688">
          <w:marLeft w:val="0"/>
          <w:marRight w:val="0"/>
          <w:marTop w:val="0"/>
          <w:marBottom w:val="0"/>
          <w:divBdr>
            <w:top w:val="none" w:sz="0" w:space="0" w:color="auto"/>
            <w:left w:val="none" w:sz="0" w:space="0" w:color="auto"/>
            <w:bottom w:val="none" w:sz="0" w:space="0" w:color="auto"/>
            <w:right w:val="none" w:sz="0" w:space="0" w:color="auto"/>
          </w:divBdr>
        </w:div>
      </w:divsChild>
    </w:div>
    <w:div w:id="835341724">
      <w:bodyDiv w:val="1"/>
      <w:marLeft w:val="0"/>
      <w:marRight w:val="0"/>
      <w:marTop w:val="0"/>
      <w:marBottom w:val="0"/>
      <w:divBdr>
        <w:top w:val="none" w:sz="0" w:space="0" w:color="auto"/>
        <w:left w:val="none" w:sz="0" w:space="0" w:color="auto"/>
        <w:bottom w:val="none" w:sz="0" w:space="0" w:color="auto"/>
        <w:right w:val="none" w:sz="0" w:space="0" w:color="auto"/>
      </w:divBdr>
      <w:divsChild>
        <w:div w:id="32923587">
          <w:marLeft w:val="0"/>
          <w:marRight w:val="0"/>
          <w:marTop w:val="0"/>
          <w:marBottom w:val="0"/>
          <w:divBdr>
            <w:top w:val="none" w:sz="0" w:space="0" w:color="auto"/>
            <w:left w:val="none" w:sz="0" w:space="0" w:color="auto"/>
            <w:bottom w:val="none" w:sz="0" w:space="0" w:color="auto"/>
            <w:right w:val="none" w:sz="0" w:space="0" w:color="auto"/>
          </w:divBdr>
        </w:div>
        <w:div w:id="1701663357">
          <w:marLeft w:val="0"/>
          <w:marRight w:val="0"/>
          <w:marTop w:val="0"/>
          <w:marBottom w:val="0"/>
          <w:divBdr>
            <w:top w:val="none" w:sz="0" w:space="0" w:color="auto"/>
            <w:left w:val="none" w:sz="0" w:space="0" w:color="auto"/>
            <w:bottom w:val="none" w:sz="0" w:space="0" w:color="auto"/>
            <w:right w:val="none" w:sz="0" w:space="0" w:color="auto"/>
          </w:divBdr>
        </w:div>
      </w:divsChild>
    </w:div>
    <w:div w:id="865020857">
      <w:bodyDiv w:val="1"/>
      <w:marLeft w:val="0"/>
      <w:marRight w:val="0"/>
      <w:marTop w:val="0"/>
      <w:marBottom w:val="0"/>
      <w:divBdr>
        <w:top w:val="none" w:sz="0" w:space="0" w:color="auto"/>
        <w:left w:val="none" w:sz="0" w:space="0" w:color="auto"/>
        <w:bottom w:val="none" w:sz="0" w:space="0" w:color="auto"/>
        <w:right w:val="none" w:sz="0" w:space="0" w:color="auto"/>
      </w:divBdr>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876041237">
      <w:bodyDiv w:val="1"/>
      <w:marLeft w:val="0"/>
      <w:marRight w:val="0"/>
      <w:marTop w:val="0"/>
      <w:marBottom w:val="0"/>
      <w:divBdr>
        <w:top w:val="none" w:sz="0" w:space="0" w:color="auto"/>
        <w:left w:val="none" w:sz="0" w:space="0" w:color="auto"/>
        <w:bottom w:val="none" w:sz="0" w:space="0" w:color="auto"/>
        <w:right w:val="none" w:sz="0" w:space="0" w:color="auto"/>
      </w:divBdr>
      <w:divsChild>
        <w:div w:id="1015234531">
          <w:marLeft w:val="0"/>
          <w:marRight w:val="0"/>
          <w:marTop w:val="0"/>
          <w:marBottom w:val="0"/>
          <w:divBdr>
            <w:top w:val="none" w:sz="0" w:space="0" w:color="auto"/>
            <w:left w:val="none" w:sz="0" w:space="0" w:color="auto"/>
            <w:bottom w:val="none" w:sz="0" w:space="0" w:color="auto"/>
            <w:right w:val="none" w:sz="0" w:space="0" w:color="auto"/>
          </w:divBdr>
        </w:div>
        <w:div w:id="1046563670">
          <w:marLeft w:val="0"/>
          <w:marRight w:val="0"/>
          <w:marTop w:val="0"/>
          <w:marBottom w:val="0"/>
          <w:divBdr>
            <w:top w:val="none" w:sz="0" w:space="0" w:color="auto"/>
            <w:left w:val="none" w:sz="0" w:space="0" w:color="auto"/>
            <w:bottom w:val="none" w:sz="0" w:space="0" w:color="auto"/>
            <w:right w:val="none" w:sz="0" w:space="0" w:color="auto"/>
          </w:divBdr>
        </w:div>
      </w:divsChild>
    </w:div>
    <w:div w:id="952979853">
      <w:bodyDiv w:val="1"/>
      <w:marLeft w:val="0"/>
      <w:marRight w:val="0"/>
      <w:marTop w:val="0"/>
      <w:marBottom w:val="0"/>
      <w:divBdr>
        <w:top w:val="none" w:sz="0" w:space="0" w:color="auto"/>
        <w:left w:val="none" w:sz="0" w:space="0" w:color="auto"/>
        <w:bottom w:val="none" w:sz="0" w:space="0" w:color="auto"/>
        <w:right w:val="none" w:sz="0" w:space="0" w:color="auto"/>
      </w:divBdr>
      <w:divsChild>
        <w:div w:id="1325089804">
          <w:marLeft w:val="0"/>
          <w:marRight w:val="0"/>
          <w:marTop w:val="0"/>
          <w:marBottom w:val="0"/>
          <w:divBdr>
            <w:top w:val="none" w:sz="0" w:space="0" w:color="auto"/>
            <w:left w:val="none" w:sz="0" w:space="0" w:color="auto"/>
            <w:bottom w:val="none" w:sz="0" w:space="0" w:color="auto"/>
            <w:right w:val="none" w:sz="0" w:space="0" w:color="auto"/>
          </w:divBdr>
        </w:div>
        <w:div w:id="43857301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4261355">
      <w:bodyDiv w:val="1"/>
      <w:marLeft w:val="0"/>
      <w:marRight w:val="0"/>
      <w:marTop w:val="0"/>
      <w:marBottom w:val="0"/>
      <w:divBdr>
        <w:top w:val="none" w:sz="0" w:space="0" w:color="auto"/>
        <w:left w:val="none" w:sz="0" w:space="0" w:color="auto"/>
        <w:bottom w:val="none" w:sz="0" w:space="0" w:color="auto"/>
        <w:right w:val="none" w:sz="0" w:space="0" w:color="auto"/>
      </w:divBdr>
      <w:divsChild>
        <w:div w:id="1570772530">
          <w:marLeft w:val="0"/>
          <w:marRight w:val="0"/>
          <w:marTop w:val="0"/>
          <w:marBottom w:val="0"/>
          <w:divBdr>
            <w:top w:val="none" w:sz="0" w:space="0" w:color="auto"/>
            <w:left w:val="none" w:sz="0" w:space="0" w:color="auto"/>
            <w:bottom w:val="none" w:sz="0" w:space="0" w:color="auto"/>
            <w:right w:val="none" w:sz="0" w:space="0" w:color="auto"/>
          </w:divBdr>
        </w:div>
        <w:div w:id="1600719511">
          <w:marLeft w:val="0"/>
          <w:marRight w:val="0"/>
          <w:marTop w:val="0"/>
          <w:marBottom w:val="0"/>
          <w:divBdr>
            <w:top w:val="none" w:sz="0" w:space="0" w:color="auto"/>
            <w:left w:val="none" w:sz="0" w:space="0" w:color="auto"/>
            <w:bottom w:val="none" w:sz="0" w:space="0" w:color="auto"/>
            <w:right w:val="none" w:sz="0" w:space="0" w:color="auto"/>
          </w:divBdr>
          <w:divsChild>
            <w:div w:id="12410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7743214">
      <w:bodyDiv w:val="1"/>
      <w:marLeft w:val="0"/>
      <w:marRight w:val="0"/>
      <w:marTop w:val="0"/>
      <w:marBottom w:val="0"/>
      <w:divBdr>
        <w:top w:val="none" w:sz="0" w:space="0" w:color="auto"/>
        <w:left w:val="none" w:sz="0" w:space="0" w:color="auto"/>
        <w:bottom w:val="none" w:sz="0" w:space="0" w:color="auto"/>
        <w:right w:val="none" w:sz="0" w:space="0" w:color="auto"/>
      </w:divBdr>
      <w:divsChild>
        <w:div w:id="1031228480">
          <w:marLeft w:val="0"/>
          <w:marRight w:val="0"/>
          <w:marTop w:val="0"/>
          <w:marBottom w:val="0"/>
          <w:divBdr>
            <w:top w:val="none" w:sz="0" w:space="0" w:color="auto"/>
            <w:left w:val="none" w:sz="0" w:space="0" w:color="auto"/>
            <w:bottom w:val="none" w:sz="0" w:space="0" w:color="auto"/>
            <w:right w:val="none" w:sz="0" w:space="0" w:color="auto"/>
          </w:divBdr>
        </w:div>
        <w:div w:id="1470174738">
          <w:marLeft w:val="0"/>
          <w:marRight w:val="0"/>
          <w:marTop w:val="0"/>
          <w:marBottom w:val="0"/>
          <w:divBdr>
            <w:top w:val="none" w:sz="0" w:space="0" w:color="auto"/>
            <w:left w:val="none" w:sz="0" w:space="0" w:color="auto"/>
            <w:bottom w:val="none" w:sz="0" w:space="0" w:color="auto"/>
            <w:right w:val="none" w:sz="0" w:space="0" w:color="auto"/>
          </w:divBdr>
        </w:div>
      </w:divsChild>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387997455">
      <w:bodyDiv w:val="1"/>
      <w:marLeft w:val="0"/>
      <w:marRight w:val="0"/>
      <w:marTop w:val="0"/>
      <w:marBottom w:val="0"/>
      <w:divBdr>
        <w:top w:val="none" w:sz="0" w:space="0" w:color="auto"/>
        <w:left w:val="none" w:sz="0" w:space="0" w:color="auto"/>
        <w:bottom w:val="none" w:sz="0" w:space="0" w:color="auto"/>
        <w:right w:val="none" w:sz="0" w:space="0" w:color="auto"/>
      </w:divBdr>
      <w:divsChild>
        <w:div w:id="1762295217">
          <w:marLeft w:val="0"/>
          <w:marRight w:val="0"/>
          <w:marTop w:val="0"/>
          <w:marBottom w:val="0"/>
          <w:divBdr>
            <w:top w:val="none" w:sz="0" w:space="0" w:color="auto"/>
            <w:left w:val="none" w:sz="0" w:space="0" w:color="auto"/>
            <w:bottom w:val="none" w:sz="0" w:space="0" w:color="auto"/>
            <w:right w:val="none" w:sz="0" w:space="0" w:color="auto"/>
          </w:divBdr>
        </w:div>
        <w:div w:id="454643923">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459109212">
      <w:bodyDiv w:val="1"/>
      <w:marLeft w:val="0"/>
      <w:marRight w:val="0"/>
      <w:marTop w:val="0"/>
      <w:marBottom w:val="0"/>
      <w:divBdr>
        <w:top w:val="none" w:sz="0" w:space="0" w:color="auto"/>
        <w:left w:val="none" w:sz="0" w:space="0" w:color="auto"/>
        <w:bottom w:val="none" w:sz="0" w:space="0" w:color="auto"/>
        <w:right w:val="none" w:sz="0" w:space="0" w:color="auto"/>
      </w:divBdr>
      <w:divsChild>
        <w:div w:id="1420373370">
          <w:marLeft w:val="0"/>
          <w:marRight w:val="0"/>
          <w:marTop w:val="0"/>
          <w:marBottom w:val="0"/>
          <w:divBdr>
            <w:top w:val="none" w:sz="0" w:space="0" w:color="auto"/>
            <w:left w:val="none" w:sz="0" w:space="0" w:color="auto"/>
            <w:bottom w:val="none" w:sz="0" w:space="0" w:color="auto"/>
            <w:right w:val="none" w:sz="0" w:space="0" w:color="auto"/>
          </w:divBdr>
          <w:divsChild>
            <w:div w:id="234709124">
              <w:marLeft w:val="0"/>
              <w:marRight w:val="0"/>
              <w:marTop w:val="0"/>
              <w:marBottom w:val="0"/>
              <w:divBdr>
                <w:top w:val="single" w:sz="6" w:space="8" w:color="auto"/>
                <w:left w:val="none" w:sz="0" w:space="0" w:color="auto"/>
                <w:bottom w:val="none" w:sz="0" w:space="0" w:color="auto"/>
                <w:right w:val="none" w:sz="0" w:space="0" w:color="auto"/>
              </w:divBdr>
              <w:divsChild>
                <w:div w:id="51270429">
                  <w:marLeft w:val="0"/>
                  <w:marRight w:val="0"/>
                  <w:marTop w:val="0"/>
                  <w:marBottom w:val="0"/>
                  <w:divBdr>
                    <w:top w:val="none" w:sz="0" w:space="0" w:color="auto"/>
                    <w:left w:val="none" w:sz="0" w:space="0" w:color="auto"/>
                    <w:bottom w:val="none" w:sz="0" w:space="0" w:color="auto"/>
                    <w:right w:val="none" w:sz="0" w:space="0" w:color="auto"/>
                  </w:divBdr>
                </w:div>
                <w:div w:id="4480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7496">
          <w:marLeft w:val="0"/>
          <w:marRight w:val="0"/>
          <w:marTop w:val="0"/>
          <w:marBottom w:val="0"/>
          <w:divBdr>
            <w:top w:val="single" w:sz="6" w:space="8" w:color="D6DCE8"/>
            <w:left w:val="single" w:sz="6" w:space="8" w:color="D6DCE8"/>
            <w:bottom w:val="single" w:sz="6" w:space="8" w:color="D6DCE8"/>
            <w:right w:val="single" w:sz="6" w:space="8" w:color="D6DCE8"/>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19413869">
      <w:bodyDiv w:val="1"/>
      <w:marLeft w:val="0"/>
      <w:marRight w:val="0"/>
      <w:marTop w:val="0"/>
      <w:marBottom w:val="0"/>
      <w:divBdr>
        <w:top w:val="none" w:sz="0" w:space="0" w:color="auto"/>
        <w:left w:val="none" w:sz="0" w:space="0" w:color="auto"/>
        <w:bottom w:val="none" w:sz="0" w:space="0" w:color="auto"/>
        <w:right w:val="none" w:sz="0" w:space="0" w:color="auto"/>
      </w:divBdr>
      <w:divsChild>
        <w:div w:id="128210158">
          <w:marLeft w:val="0"/>
          <w:marRight w:val="0"/>
          <w:marTop w:val="0"/>
          <w:marBottom w:val="0"/>
          <w:divBdr>
            <w:top w:val="none" w:sz="0" w:space="0" w:color="auto"/>
            <w:left w:val="none" w:sz="0" w:space="0" w:color="auto"/>
            <w:bottom w:val="none" w:sz="0" w:space="0" w:color="auto"/>
            <w:right w:val="none" w:sz="0" w:space="0" w:color="auto"/>
          </w:divBdr>
        </w:div>
        <w:div w:id="1512060364">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34351553">
      <w:bodyDiv w:val="1"/>
      <w:marLeft w:val="0"/>
      <w:marRight w:val="0"/>
      <w:marTop w:val="0"/>
      <w:marBottom w:val="0"/>
      <w:divBdr>
        <w:top w:val="none" w:sz="0" w:space="0" w:color="auto"/>
        <w:left w:val="none" w:sz="0" w:space="0" w:color="auto"/>
        <w:bottom w:val="none" w:sz="0" w:space="0" w:color="auto"/>
        <w:right w:val="none" w:sz="0" w:space="0" w:color="auto"/>
      </w:divBdr>
      <w:divsChild>
        <w:div w:id="208305364">
          <w:marLeft w:val="0"/>
          <w:marRight w:val="0"/>
          <w:marTop w:val="0"/>
          <w:marBottom w:val="0"/>
          <w:divBdr>
            <w:top w:val="none" w:sz="0" w:space="0" w:color="auto"/>
            <w:left w:val="none" w:sz="0" w:space="0" w:color="auto"/>
            <w:bottom w:val="none" w:sz="0" w:space="0" w:color="auto"/>
            <w:right w:val="none" w:sz="0" w:space="0" w:color="auto"/>
          </w:divBdr>
        </w:div>
        <w:div w:id="1950157040">
          <w:marLeft w:val="0"/>
          <w:marRight w:val="0"/>
          <w:marTop w:val="0"/>
          <w:marBottom w:val="0"/>
          <w:divBdr>
            <w:top w:val="none" w:sz="0" w:space="0" w:color="auto"/>
            <w:left w:val="none" w:sz="0" w:space="0" w:color="auto"/>
            <w:bottom w:val="none" w:sz="0" w:space="0" w:color="auto"/>
            <w:right w:val="none" w:sz="0" w:space="0" w:color="auto"/>
          </w:divBdr>
        </w:div>
      </w:divsChild>
    </w:div>
    <w:div w:id="1736316228">
      <w:bodyDiv w:val="1"/>
      <w:marLeft w:val="0"/>
      <w:marRight w:val="0"/>
      <w:marTop w:val="0"/>
      <w:marBottom w:val="0"/>
      <w:divBdr>
        <w:top w:val="none" w:sz="0" w:space="0" w:color="auto"/>
        <w:left w:val="none" w:sz="0" w:space="0" w:color="auto"/>
        <w:bottom w:val="none" w:sz="0" w:space="0" w:color="auto"/>
        <w:right w:val="none" w:sz="0" w:space="0" w:color="auto"/>
      </w:divBdr>
      <w:divsChild>
        <w:div w:id="1417284993">
          <w:marLeft w:val="0"/>
          <w:marRight w:val="0"/>
          <w:marTop w:val="0"/>
          <w:marBottom w:val="0"/>
          <w:divBdr>
            <w:top w:val="none" w:sz="0" w:space="0" w:color="auto"/>
            <w:left w:val="none" w:sz="0" w:space="0" w:color="auto"/>
            <w:bottom w:val="none" w:sz="0" w:space="0" w:color="auto"/>
            <w:right w:val="none" w:sz="0" w:space="0" w:color="auto"/>
          </w:divBdr>
        </w:div>
        <w:div w:id="281961231">
          <w:marLeft w:val="0"/>
          <w:marRight w:val="0"/>
          <w:marTop w:val="0"/>
          <w:marBottom w:val="0"/>
          <w:divBdr>
            <w:top w:val="none" w:sz="0" w:space="0" w:color="auto"/>
            <w:left w:val="none" w:sz="0" w:space="0" w:color="auto"/>
            <w:bottom w:val="none" w:sz="0" w:space="0" w:color="auto"/>
            <w:right w:val="none" w:sz="0" w:space="0" w:color="auto"/>
          </w:divBdr>
        </w:div>
      </w:divsChild>
    </w:div>
    <w:div w:id="1763993742">
      <w:bodyDiv w:val="1"/>
      <w:marLeft w:val="0"/>
      <w:marRight w:val="0"/>
      <w:marTop w:val="0"/>
      <w:marBottom w:val="0"/>
      <w:divBdr>
        <w:top w:val="none" w:sz="0" w:space="0" w:color="auto"/>
        <w:left w:val="none" w:sz="0" w:space="0" w:color="auto"/>
        <w:bottom w:val="none" w:sz="0" w:space="0" w:color="auto"/>
        <w:right w:val="none" w:sz="0" w:space="0" w:color="auto"/>
      </w:divBdr>
      <w:divsChild>
        <w:div w:id="2138404264">
          <w:marLeft w:val="0"/>
          <w:marRight w:val="0"/>
          <w:marTop w:val="0"/>
          <w:marBottom w:val="0"/>
          <w:divBdr>
            <w:top w:val="none" w:sz="0" w:space="0" w:color="auto"/>
            <w:left w:val="none" w:sz="0" w:space="0" w:color="auto"/>
            <w:bottom w:val="none" w:sz="0" w:space="0" w:color="auto"/>
            <w:right w:val="none" w:sz="0" w:space="0" w:color="auto"/>
          </w:divBdr>
        </w:div>
        <w:div w:id="1779255170">
          <w:marLeft w:val="0"/>
          <w:marRight w:val="0"/>
          <w:marTop w:val="0"/>
          <w:marBottom w:val="0"/>
          <w:divBdr>
            <w:top w:val="none" w:sz="0" w:space="0" w:color="auto"/>
            <w:left w:val="none" w:sz="0" w:space="0" w:color="auto"/>
            <w:bottom w:val="none" w:sz="0" w:space="0" w:color="auto"/>
            <w:right w:val="none" w:sz="0" w:space="0" w:color="auto"/>
          </w:divBdr>
        </w:div>
      </w:divsChild>
    </w:div>
    <w:div w:id="1790120228">
      <w:bodyDiv w:val="1"/>
      <w:marLeft w:val="0"/>
      <w:marRight w:val="0"/>
      <w:marTop w:val="0"/>
      <w:marBottom w:val="0"/>
      <w:divBdr>
        <w:top w:val="none" w:sz="0" w:space="0" w:color="auto"/>
        <w:left w:val="none" w:sz="0" w:space="0" w:color="auto"/>
        <w:bottom w:val="none" w:sz="0" w:space="0" w:color="auto"/>
        <w:right w:val="none" w:sz="0" w:space="0" w:color="auto"/>
      </w:divBdr>
      <w:divsChild>
        <w:div w:id="1839297991">
          <w:marLeft w:val="0"/>
          <w:marRight w:val="0"/>
          <w:marTop w:val="0"/>
          <w:marBottom w:val="0"/>
          <w:divBdr>
            <w:top w:val="none" w:sz="0" w:space="0" w:color="auto"/>
            <w:left w:val="none" w:sz="0" w:space="0" w:color="auto"/>
            <w:bottom w:val="none" w:sz="0" w:space="0" w:color="auto"/>
            <w:right w:val="none" w:sz="0" w:space="0" w:color="auto"/>
          </w:divBdr>
        </w:div>
        <w:div w:id="1986280852">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883326524">
      <w:bodyDiv w:val="1"/>
      <w:marLeft w:val="0"/>
      <w:marRight w:val="0"/>
      <w:marTop w:val="0"/>
      <w:marBottom w:val="0"/>
      <w:divBdr>
        <w:top w:val="none" w:sz="0" w:space="0" w:color="auto"/>
        <w:left w:val="none" w:sz="0" w:space="0" w:color="auto"/>
        <w:bottom w:val="none" w:sz="0" w:space="0" w:color="auto"/>
        <w:right w:val="none" w:sz="0" w:space="0" w:color="auto"/>
      </w:divBdr>
      <w:divsChild>
        <w:div w:id="787546153">
          <w:marLeft w:val="0"/>
          <w:marRight w:val="0"/>
          <w:marTop w:val="0"/>
          <w:marBottom w:val="0"/>
          <w:divBdr>
            <w:top w:val="none" w:sz="0" w:space="0" w:color="auto"/>
            <w:left w:val="none" w:sz="0" w:space="0" w:color="auto"/>
            <w:bottom w:val="none" w:sz="0" w:space="0" w:color="auto"/>
            <w:right w:val="none" w:sz="0" w:space="0" w:color="auto"/>
          </w:divBdr>
        </w:div>
        <w:div w:id="858590615">
          <w:marLeft w:val="0"/>
          <w:marRight w:val="0"/>
          <w:marTop w:val="0"/>
          <w:marBottom w:val="0"/>
          <w:divBdr>
            <w:top w:val="none" w:sz="0" w:space="0" w:color="auto"/>
            <w:left w:val="none" w:sz="0" w:space="0" w:color="auto"/>
            <w:bottom w:val="none" w:sz="0" w:space="0" w:color="auto"/>
            <w:right w:val="none" w:sz="0" w:space="0" w:color="auto"/>
          </w:divBdr>
          <w:divsChild>
            <w:div w:id="685450901">
              <w:marLeft w:val="0"/>
              <w:marRight w:val="0"/>
              <w:marTop w:val="0"/>
              <w:marBottom w:val="0"/>
              <w:divBdr>
                <w:top w:val="none" w:sz="0" w:space="0" w:color="auto"/>
                <w:left w:val="none" w:sz="0" w:space="0" w:color="auto"/>
                <w:bottom w:val="none" w:sz="0" w:space="0" w:color="auto"/>
                <w:right w:val="none" w:sz="0" w:space="0" w:color="auto"/>
              </w:divBdr>
            </w:div>
            <w:div w:id="606739536">
              <w:marLeft w:val="0"/>
              <w:marRight w:val="0"/>
              <w:marTop w:val="0"/>
              <w:marBottom w:val="0"/>
              <w:divBdr>
                <w:top w:val="none" w:sz="0" w:space="0" w:color="auto"/>
                <w:left w:val="none" w:sz="0" w:space="0" w:color="auto"/>
                <w:bottom w:val="none" w:sz="0" w:space="0" w:color="auto"/>
                <w:right w:val="none" w:sz="0" w:space="0" w:color="auto"/>
              </w:divBdr>
            </w:div>
            <w:div w:id="970283414">
              <w:marLeft w:val="0"/>
              <w:marRight w:val="0"/>
              <w:marTop w:val="0"/>
              <w:marBottom w:val="0"/>
              <w:divBdr>
                <w:top w:val="none" w:sz="0" w:space="0" w:color="auto"/>
                <w:left w:val="none" w:sz="0" w:space="0" w:color="auto"/>
                <w:bottom w:val="none" w:sz="0" w:space="0" w:color="auto"/>
                <w:right w:val="none" w:sz="0" w:space="0" w:color="auto"/>
              </w:divBdr>
            </w:div>
            <w:div w:id="1916628867">
              <w:marLeft w:val="0"/>
              <w:marRight w:val="0"/>
              <w:marTop w:val="0"/>
              <w:marBottom w:val="0"/>
              <w:divBdr>
                <w:top w:val="none" w:sz="0" w:space="0" w:color="auto"/>
                <w:left w:val="none" w:sz="0" w:space="0" w:color="auto"/>
                <w:bottom w:val="none" w:sz="0" w:space="0" w:color="auto"/>
                <w:right w:val="none" w:sz="0" w:space="0" w:color="auto"/>
              </w:divBdr>
            </w:div>
            <w:div w:id="335886564">
              <w:marLeft w:val="0"/>
              <w:marRight w:val="0"/>
              <w:marTop w:val="0"/>
              <w:marBottom w:val="0"/>
              <w:divBdr>
                <w:top w:val="none" w:sz="0" w:space="0" w:color="auto"/>
                <w:left w:val="none" w:sz="0" w:space="0" w:color="auto"/>
                <w:bottom w:val="none" w:sz="0" w:space="0" w:color="auto"/>
                <w:right w:val="none" w:sz="0" w:space="0" w:color="auto"/>
              </w:divBdr>
            </w:div>
            <w:div w:id="566650073">
              <w:marLeft w:val="0"/>
              <w:marRight w:val="0"/>
              <w:marTop w:val="0"/>
              <w:marBottom w:val="0"/>
              <w:divBdr>
                <w:top w:val="none" w:sz="0" w:space="0" w:color="auto"/>
                <w:left w:val="none" w:sz="0" w:space="0" w:color="auto"/>
                <w:bottom w:val="none" w:sz="0" w:space="0" w:color="auto"/>
                <w:right w:val="none" w:sz="0" w:space="0" w:color="auto"/>
              </w:divBdr>
            </w:div>
            <w:div w:id="1906715742">
              <w:marLeft w:val="0"/>
              <w:marRight w:val="0"/>
              <w:marTop w:val="0"/>
              <w:marBottom w:val="0"/>
              <w:divBdr>
                <w:top w:val="none" w:sz="0" w:space="0" w:color="auto"/>
                <w:left w:val="none" w:sz="0" w:space="0" w:color="auto"/>
                <w:bottom w:val="none" w:sz="0" w:space="0" w:color="auto"/>
                <w:right w:val="none" w:sz="0" w:space="0" w:color="auto"/>
              </w:divBdr>
            </w:div>
            <w:div w:id="524712381">
              <w:marLeft w:val="0"/>
              <w:marRight w:val="0"/>
              <w:marTop w:val="0"/>
              <w:marBottom w:val="0"/>
              <w:divBdr>
                <w:top w:val="none" w:sz="0" w:space="0" w:color="auto"/>
                <w:left w:val="none" w:sz="0" w:space="0" w:color="auto"/>
                <w:bottom w:val="none" w:sz="0" w:space="0" w:color="auto"/>
                <w:right w:val="none" w:sz="0" w:space="0" w:color="auto"/>
              </w:divBdr>
            </w:div>
            <w:div w:id="1929456811">
              <w:marLeft w:val="0"/>
              <w:marRight w:val="0"/>
              <w:marTop w:val="0"/>
              <w:marBottom w:val="0"/>
              <w:divBdr>
                <w:top w:val="none" w:sz="0" w:space="0" w:color="auto"/>
                <w:left w:val="none" w:sz="0" w:space="0" w:color="auto"/>
                <w:bottom w:val="none" w:sz="0" w:space="0" w:color="auto"/>
                <w:right w:val="none" w:sz="0" w:space="0" w:color="auto"/>
              </w:divBdr>
            </w:div>
            <w:div w:id="671833944">
              <w:marLeft w:val="0"/>
              <w:marRight w:val="0"/>
              <w:marTop w:val="0"/>
              <w:marBottom w:val="0"/>
              <w:divBdr>
                <w:top w:val="none" w:sz="0" w:space="0" w:color="auto"/>
                <w:left w:val="none" w:sz="0" w:space="0" w:color="auto"/>
                <w:bottom w:val="none" w:sz="0" w:space="0" w:color="auto"/>
                <w:right w:val="none" w:sz="0" w:space="0" w:color="auto"/>
              </w:divBdr>
            </w:div>
            <w:div w:id="1398742000">
              <w:marLeft w:val="0"/>
              <w:marRight w:val="0"/>
              <w:marTop w:val="0"/>
              <w:marBottom w:val="0"/>
              <w:divBdr>
                <w:top w:val="none" w:sz="0" w:space="0" w:color="auto"/>
                <w:left w:val="none" w:sz="0" w:space="0" w:color="auto"/>
                <w:bottom w:val="none" w:sz="0" w:space="0" w:color="auto"/>
                <w:right w:val="none" w:sz="0" w:space="0" w:color="auto"/>
              </w:divBdr>
            </w:div>
            <w:div w:id="1745713685">
              <w:marLeft w:val="0"/>
              <w:marRight w:val="0"/>
              <w:marTop w:val="0"/>
              <w:marBottom w:val="0"/>
              <w:divBdr>
                <w:top w:val="none" w:sz="0" w:space="0" w:color="auto"/>
                <w:left w:val="none" w:sz="0" w:space="0" w:color="auto"/>
                <w:bottom w:val="none" w:sz="0" w:space="0" w:color="auto"/>
                <w:right w:val="none" w:sz="0" w:space="0" w:color="auto"/>
              </w:divBdr>
            </w:div>
            <w:div w:id="373576046">
              <w:marLeft w:val="0"/>
              <w:marRight w:val="0"/>
              <w:marTop w:val="0"/>
              <w:marBottom w:val="0"/>
              <w:divBdr>
                <w:top w:val="none" w:sz="0" w:space="0" w:color="auto"/>
                <w:left w:val="none" w:sz="0" w:space="0" w:color="auto"/>
                <w:bottom w:val="none" w:sz="0" w:space="0" w:color="auto"/>
                <w:right w:val="none" w:sz="0" w:space="0" w:color="auto"/>
              </w:divBdr>
            </w:div>
            <w:div w:id="2088652945">
              <w:marLeft w:val="0"/>
              <w:marRight w:val="0"/>
              <w:marTop w:val="0"/>
              <w:marBottom w:val="0"/>
              <w:divBdr>
                <w:top w:val="none" w:sz="0" w:space="0" w:color="auto"/>
                <w:left w:val="none" w:sz="0" w:space="0" w:color="auto"/>
                <w:bottom w:val="none" w:sz="0" w:space="0" w:color="auto"/>
                <w:right w:val="none" w:sz="0" w:space="0" w:color="auto"/>
              </w:divBdr>
            </w:div>
            <w:div w:id="1739549580">
              <w:marLeft w:val="0"/>
              <w:marRight w:val="0"/>
              <w:marTop w:val="0"/>
              <w:marBottom w:val="0"/>
              <w:divBdr>
                <w:top w:val="none" w:sz="0" w:space="0" w:color="auto"/>
                <w:left w:val="none" w:sz="0" w:space="0" w:color="auto"/>
                <w:bottom w:val="none" w:sz="0" w:space="0" w:color="auto"/>
                <w:right w:val="none" w:sz="0" w:space="0" w:color="auto"/>
              </w:divBdr>
            </w:div>
            <w:div w:id="240680415">
              <w:marLeft w:val="0"/>
              <w:marRight w:val="0"/>
              <w:marTop w:val="0"/>
              <w:marBottom w:val="0"/>
              <w:divBdr>
                <w:top w:val="none" w:sz="0" w:space="0" w:color="auto"/>
                <w:left w:val="none" w:sz="0" w:space="0" w:color="auto"/>
                <w:bottom w:val="none" w:sz="0" w:space="0" w:color="auto"/>
                <w:right w:val="none" w:sz="0" w:space="0" w:color="auto"/>
              </w:divBdr>
            </w:div>
            <w:div w:id="268976527">
              <w:marLeft w:val="0"/>
              <w:marRight w:val="0"/>
              <w:marTop w:val="0"/>
              <w:marBottom w:val="0"/>
              <w:divBdr>
                <w:top w:val="none" w:sz="0" w:space="0" w:color="auto"/>
                <w:left w:val="none" w:sz="0" w:space="0" w:color="auto"/>
                <w:bottom w:val="none" w:sz="0" w:space="0" w:color="auto"/>
                <w:right w:val="none" w:sz="0" w:space="0" w:color="auto"/>
              </w:divBdr>
            </w:div>
            <w:div w:id="789517119">
              <w:marLeft w:val="0"/>
              <w:marRight w:val="0"/>
              <w:marTop w:val="0"/>
              <w:marBottom w:val="0"/>
              <w:divBdr>
                <w:top w:val="none" w:sz="0" w:space="0" w:color="auto"/>
                <w:left w:val="none" w:sz="0" w:space="0" w:color="auto"/>
                <w:bottom w:val="none" w:sz="0" w:space="0" w:color="auto"/>
                <w:right w:val="none" w:sz="0" w:space="0" w:color="auto"/>
              </w:divBdr>
            </w:div>
            <w:div w:id="1578518245">
              <w:marLeft w:val="0"/>
              <w:marRight w:val="0"/>
              <w:marTop w:val="0"/>
              <w:marBottom w:val="0"/>
              <w:divBdr>
                <w:top w:val="none" w:sz="0" w:space="0" w:color="auto"/>
                <w:left w:val="none" w:sz="0" w:space="0" w:color="auto"/>
                <w:bottom w:val="none" w:sz="0" w:space="0" w:color="auto"/>
                <w:right w:val="none" w:sz="0" w:space="0" w:color="auto"/>
              </w:divBdr>
            </w:div>
            <w:div w:id="1673604090">
              <w:marLeft w:val="0"/>
              <w:marRight w:val="0"/>
              <w:marTop w:val="0"/>
              <w:marBottom w:val="0"/>
              <w:divBdr>
                <w:top w:val="none" w:sz="0" w:space="0" w:color="auto"/>
                <w:left w:val="none" w:sz="0" w:space="0" w:color="auto"/>
                <w:bottom w:val="none" w:sz="0" w:space="0" w:color="auto"/>
                <w:right w:val="none" w:sz="0" w:space="0" w:color="auto"/>
              </w:divBdr>
            </w:div>
            <w:div w:id="419720818">
              <w:marLeft w:val="0"/>
              <w:marRight w:val="0"/>
              <w:marTop w:val="0"/>
              <w:marBottom w:val="0"/>
              <w:divBdr>
                <w:top w:val="none" w:sz="0" w:space="0" w:color="auto"/>
                <w:left w:val="none" w:sz="0" w:space="0" w:color="auto"/>
                <w:bottom w:val="none" w:sz="0" w:space="0" w:color="auto"/>
                <w:right w:val="none" w:sz="0" w:space="0" w:color="auto"/>
              </w:divBdr>
            </w:div>
            <w:div w:id="631978992">
              <w:marLeft w:val="0"/>
              <w:marRight w:val="0"/>
              <w:marTop w:val="0"/>
              <w:marBottom w:val="0"/>
              <w:divBdr>
                <w:top w:val="none" w:sz="0" w:space="0" w:color="auto"/>
                <w:left w:val="none" w:sz="0" w:space="0" w:color="auto"/>
                <w:bottom w:val="none" w:sz="0" w:space="0" w:color="auto"/>
                <w:right w:val="none" w:sz="0" w:space="0" w:color="auto"/>
              </w:divBdr>
            </w:div>
            <w:div w:id="105851397">
              <w:marLeft w:val="0"/>
              <w:marRight w:val="0"/>
              <w:marTop w:val="0"/>
              <w:marBottom w:val="0"/>
              <w:divBdr>
                <w:top w:val="none" w:sz="0" w:space="0" w:color="auto"/>
                <w:left w:val="none" w:sz="0" w:space="0" w:color="auto"/>
                <w:bottom w:val="none" w:sz="0" w:space="0" w:color="auto"/>
                <w:right w:val="none" w:sz="0" w:space="0" w:color="auto"/>
              </w:divBdr>
            </w:div>
            <w:div w:id="120002816">
              <w:marLeft w:val="0"/>
              <w:marRight w:val="0"/>
              <w:marTop w:val="0"/>
              <w:marBottom w:val="0"/>
              <w:divBdr>
                <w:top w:val="none" w:sz="0" w:space="0" w:color="auto"/>
                <w:left w:val="none" w:sz="0" w:space="0" w:color="auto"/>
                <w:bottom w:val="none" w:sz="0" w:space="0" w:color="auto"/>
                <w:right w:val="none" w:sz="0" w:space="0" w:color="auto"/>
              </w:divBdr>
            </w:div>
            <w:div w:id="542905248">
              <w:marLeft w:val="0"/>
              <w:marRight w:val="0"/>
              <w:marTop w:val="0"/>
              <w:marBottom w:val="0"/>
              <w:divBdr>
                <w:top w:val="none" w:sz="0" w:space="0" w:color="auto"/>
                <w:left w:val="none" w:sz="0" w:space="0" w:color="auto"/>
                <w:bottom w:val="none" w:sz="0" w:space="0" w:color="auto"/>
                <w:right w:val="none" w:sz="0" w:space="0" w:color="auto"/>
              </w:divBdr>
            </w:div>
            <w:div w:id="1683891153">
              <w:marLeft w:val="0"/>
              <w:marRight w:val="0"/>
              <w:marTop w:val="0"/>
              <w:marBottom w:val="0"/>
              <w:divBdr>
                <w:top w:val="none" w:sz="0" w:space="0" w:color="auto"/>
                <w:left w:val="none" w:sz="0" w:space="0" w:color="auto"/>
                <w:bottom w:val="none" w:sz="0" w:space="0" w:color="auto"/>
                <w:right w:val="none" w:sz="0" w:space="0" w:color="auto"/>
              </w:divBdr>
            </w:div>
            <w:div w:id="636884579">
              <w:marLeft w:val="0"/>
              <w:marRight w:val="0"/>
              <w:marTop w:val="0"/>
              <w:marBottom w:val="0"/>
              <w:divBdr>
                <w:top w:val="none" w:sz="0" w:space="0" w:color="auto"/>
                <w:left w:val="none" w:sz="0" w:space="0" w:color="auto"/>
                <w:bottom w:val="none" w:sz="0" w:space="0" w:color="auto"/>
                <w:right w:val="none" w:sz="0" w:space="0" w:color="auto"/>
              </w:divBdr>
            </w:div>
            <w:div w:id="1482229038">
              <w:marLeft w:val="0"/>
              <w:marRight w:val="0"/>
              <w:marTop w:val="0"/>
              <w:marBottom w:val="0"/>
              <w:divBdr>
                <w:top w:val="none" w:sz="0" w:space="0" w:color="auto"/>
                <w:left w:val="none" w:sz="0" w:space="0" w:color="auto"/>
                <w:bottom w:val="none" w:sz="0" w:space="0" w:color="auto"/>
                <w:right w:val="none" w:sz="0" w:space="0" w:color="auto"/>
              </w:divBdr>
            </w:div>
            <w:div w:id="1154183969">
              <w:marLeft w:val="0"/>
              <w:marRight w:val="0"/>
              <w:marTop w:val="0"/>
              <w:marBottom w:val="0"/>
              <w:divBdr>
                <w:top w:val="none" w:sz="0" w:space="0" w:color="auto"/>
                <w:left w:val="none" w:sz="0" w:space="0" w:color="auto"/>
                <w:bottom w:val="none" w:sz="0" w:space="0" w:color="auto"/>
                <w:right w:val="none" w:sz="0" w:space="0" w:color="auto"/>
              </w:divBdr>
            </w:div>
            <w:div w:id="1830169714">
              <w:marLeft w:val="0"/>
              <w:marRight w:val="0"/>
              <w:marTop w:val="0"/>
              <w:marBottom w:val="0"/>
              <w:divBdr>
                <w:top w:val="none" w:sz="0" w:space="0" w:color="auto"/>
                <w:left w:val="none" w:sz="0" w:space="0" w:color="auto"/>
                <w:bottom w:val="none" w:sz="0" w:space="0" w:color="auto"/>
                <w:right w:val="none" w:sz="0" w:space="0" w:color="auto"/>
              </w:divBdr>
            </w:div>
            <w:div w:id="365175982">
              <w:marLeft w:val="0"/>
              <w:marRight w:val="0"/>
              <w:marTop w:val="0"/>
              <w:marBottom w:val="0"/>
              <w:divBdr>
                <w:top w:val="none" w:sz="0" w:space="0" w:color="auto"/>
                <w:left w:val="none" w:sz="0" w:space="0" w:color="auto"/>
                <w:bottom w:val="none" w:sz="0" w:space="0" w:color="auto"/>
                <w:right w:val="none" w:sz="0" w:space="0" w:color="auto"/>
              </w:divBdr>
            </w:div>
            <w:div w:id="756172737">
              <w:marLeft w:val="0"/>
              <w:marRight w:val="0"/>
              <w:marTop w:val="0"/>
              <w:marBottom w:val="0"/>
              <w:divBdr>
                <w:top w:val="none" w:sz="0" w:space="0" w:color="auto"/>
                <w:left w:val="none" w:sz="0" w:space="0" w:color="auto"/>
                <w:bottom w:val="none" w:sz="0" w:space="0" w:color="auto"/>
                <w:right w:val="none" w:sz="0" w:space="0" w:color="auto"/>
              </w:divBdr>
            </w:div>
            <w:div w:id="1311131647">
              <w:marLeft w:val="0"/>
              <w:marRight w:val="0"/>
              <w:marTop w:val="0"/>
              <w:marBottom w:val="0"/>
              <w:divBdr>
                <w:top w:val="none" w:sz="0" w:space="0" w:color="auto"/>
                <w:left w:val="none" w:sz="0" w:space="0" w:color="auto"/>
                <w:bottom w:val="none" w:sz="0" w:space="0" w:color="auto"/>
                <w:right w:val="none" w:sz="0" w:space="0" w:color="auto"/>
              </w:divBdr>
            </w:div>
            <w:div w:id="651836227">
              <w:marLeft w:val="0"/>
              <w:marRight w:val="0"/>
              <w:marTop w:val="0"/>
              <w:marBottom w:val="0"/>
              <w:divBdr>
                <w:top w:val="none" w:sz="0" w:space="0" w:color="auto"/>
                <w:left w:val="none" w:sz="0" w:space="0" w:color="auto"/>
                <w:bottom w:val="none" w:sz="0" w:space="0" w:color="auto"/>
                <w:right w:val="none" w:sz="0" w:space="0" w:color="auto"/>
              </w:divBdr>
            </w:div>
            <w:div w:id="639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61498280">
      <w:bodyDiv w:val="1"/>
      <w:marLeft w:val="0"/>
      <w:marRight w:val="0"/>
      <w:marTop w:val="0"/>
      <w:marBottom w:val="0"/>
      <w:divBdr>
        <w:top w:val="none" w:sz="0" w:space="0" w:color="auto"/>
        <w:left w:val="none" w:sz="0" w:space="0" w:color="auto"/>
        <w:bottom w:val="none" w:sz="0" w:space="0" w:color="auto"/>
        <w:right w:val="none" w:sz="0" w:space="0" w:color="auto"/>
      </w:divBdr>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23819081">
      <w:bodyDiv w:val="1"/>
      <w:marLeft w:val="0"/>
      <w:marRight w:val="0"/>
      <w:marTop w:val="0"/>
      <w:marBottom w:val="0"/>
      <w:divBdr>
        <w:top w:val="none" w:sz="0" w:space="0" w:color="auto"/>
        <w:left w:val="none" w:sz="0" w:space="0" w:color="auto"/>
        <w:bottom w:val="none" w:sz="0" w:space="0" w:color="auto"/>
        <w:right w:val="none" w:sz="0" w:space="0" w:color="auto"/>
      </w:divBdr>
      <w:divsChild>
        <w:div w:id="1382436953">
          <w:marLeft w:val="0"/>
          <w:marRight w:val="0"/>
          <w:marTop w:val="0"/>
          <w:marBottom w:val="0"/>
          <w:divBdr>
            <w:top w:val="none" w:sz="0" w:space="0" w:color="auto"/>
            <w:left w:val="none" w:sz="0" w:space="0" w:color="auto"/>
            <w:bottom w:val="none" w:sz="0" w:space="0" w:color="auto"/>
            <w:right w:val="none" w:sz="0" w:space="0" w:color="auto"/>
          </w:divBdr>
        </w:div>
        <w:div w:id="342318860">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drug-safety-update/ace-inhibitors-be-aware-of-the-distinction-between-bradykinin-and-histamine-mediated-angioedema-as-treatment-strategies-differ-significantl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dsafe.govt.nz/profs/PUArticles/June2026/Insulin-autoimmune-syndrome.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pp.hpfb-dgpsa.ca/review-documents/resource/SSR1775582460008"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ansm.sante.fr/actualites/neuroleptiques-et-constipation-vigilance-indispensable-pour-limiter-le-risque-de-complications" TargetMode="External"/><Relationship Id="rId4" Type="http://schemas.openxmlformats.org/officeDocument/2006/relationships/webSettings" Target="webSettings.xml"/><Relationship Id="rId9" Type="http://schemas.openxmlformats.org/officeDocument/2006/relationships/hyperlink" Target="https://www.medsafe.govt.nz/profs/PUArticles/June2026/Undesirable-effects-opioid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1845</TotalTime>
  <Pages>8</Pages>
  <Words>3109</Words>
  <Characters>17725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581</cp:revision>
  <cp:lastPrinted>2025-10-24T08:45:00Z</cp:lastPrinted>
  <dcterms:created xsi:type="dcterms:W3CDTF">2024-09-25T08:15:00Z</dcterms:created>
  <dcterms:modified xsi:type="dcterms:W3CDTF">2026-07-02T00:43:00Z</dcterms:modified>
</cp:coreProperties>
</file>