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8E0758" w:rsidTr="00725D86">
        <w:trPr>
          <w:trHeight w:val="841"/>
        </w:trPr>
        <w:tc>
          <w:tcPr>
            <w:tcW w:w="4503" w:type="dxa"/>
            <w:shd w:val="clear" w:color="auto" w:fill="auto"/>
          </w:tcPr>
          <w:p w:rsidR="008B3222" w:rsidRPr="008E0758" w:rsidRDefault="007A4AFE" w:rsidP="00913253">
            <w:pPr>
              <w:pStyle w:val="Heading5"/>
              <w:tabs>
                <w:tab w:val="center" w:pos="1680"/>
                <w:tab w:val="center" w:pos="6240"/>
              </w:tabs>
              <w:jc w:val="both"/>
              <w:rPr>
                <w:szCs w:val="28"/>
              </w:rPr>
            </w:pPr>
            <w:r w:rsidRPr="008E0758">
              <w:rPr>
                <w:szCs w:val="28"/>
              </w:rPr>
              <w:t xml:space="preserve"> </w:t>
            </w:r>
            <w:r w:rsidR="008B3222" w:rsidRPr="008E0758">
              <w:rPr>
                <w:szCs w:val="28"/>
              </w:rPr>
              <w:t>HỘI ĐỒNG THUỐC VÀ ĐIỀU TRỊ</w:t>
            </w:r>
          </w:p>
          <w:p w:rsidR="008B3222" w:rsidRPr="008E0758" w:rsidRDefault="008B3222"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329AF6CF" wp14:editId="7DFB2090">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8E0758">
              <w:rPr>
                <w:rFonts w:ascii="Times New Roman" w:hAnsi="Times New Roman" w:cs="Times New Roman"/>
                <w:b/>
                <w:spacing w:val="-10"/>
                <w:sz w:val="28"/>
                <w:szCs w:val="28"/>
                <w:lang w:val="vi-VN"/>
              </w:rPr>
              <w:t xml:space="preserve">ĐƠN VỊ </w:t>
            </w:r>
            <w:r w:rsidRPr="008E0758">
              <w:rPr>
                <w:rFonts w:ascii="Times New Roman" w:hAnsi="Times New Roman" w:cs="Times New Roman"/>
                <w:b/>
                <w:spacing w:val="-10"/>
                <w:sz w:val="28"/>
                <w:szCs w:val="28"/>
              </w:rPr>
              <w:t>THÔNG TIN THUỐC</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Pr="008E0758" w:rsidRDefault="008B3222" w:rsidP="00913253">
            <w:pPr>
              <w:pStyle w:val="Heading5"/>
              <w:tabs>
                <w:tab w:val="center" w:pos="1680"/>
                <w:tab w:val="center" w:pos="6240"/>
              </w:tabs>
              <w:jc w:val="both"/>
              <w:rPr>
                <w:b/>
                <w:spacing w:val="-10"/>
                <w:szCs w:val="28"/>
              </w:rPr>
            </w:pPr>
            <w:r w:rsidRPr="008E0758">
              <w:rPr>
                <w:b/>
                <w:noProof/>
                <w:spacing w:val="-10"/>
                <w:szCs w:val="28"/>
              </w:rPr>
              <mc:AlternateContent>
                <mc:Choice Requires="wps">
                  <w:drawing>
                    <wp:anchor distT="4294967295" distB="4294967295" distL="114300" distR="114300" simplePos="0" relativeHeight="251660288" behindDoc="0" locked="0" layoutInCell="1" allowOverlap="1" wp14:anchorId="261D2B73" wp14:editId="4818AD6C">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8E0758">
              <w:rPr>
                <w:b/>
                <w:spacing w:val="-10"/>
                <w:szCs w:val="28"/>
                <w:lang w:val="vi-VN"/>
              </w:rPr>
              <w:t xml:space="preserve">                </w:t>
            </w:r>
            <w:r w:rsidRPr="008E0758">
              <w:rPr>
                <w:b/>
                <w:spacing w:val="-10"/>
                <w:szCs w:val="28"/>
              </w:rPr>
              <w:t>Độc lập - Tự do - Hạnh phúc</w:t>
            </w:r>
          </w:p>
        </w:tc>
      </w:tr>
      <w:tr w:rsidR="00F51A86" w:rsidRPr="008E0758" w:rsidTr="00725D86">
        <w:tc>
          <w:tcPr>
            <w:tcW w:w="4503" w:type="dxa"/>
            <w:shd w:val="clear" w:color="auto" w:fill="auto"/>
          </w:tcPr>
          <w:p w:rsidR="004F1270" w:rsidRPr="008E0758" w:rsidRDefault="004F1270"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033F01" w:rsidRPr="008E0758" w:rsidRDefault="00913253"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b/>
          <w:sz w:val="28"/>
          <w:szCs w:val="28"/>
        </w:rPr>
        <w:t xml:space="preserve">                       </w:t>
      </w:r>
      <w:r w:rsidR="008E0758">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01</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913253" w:rsidRPr="008E0758" w:rsidRDefault="00913253" w:rsidP="00913253">
      <w:pPr>
        <w:spacing w:after="0" w:line="240" w:lineRule="auto"/>
        <w:jc w:val="both"/>
        <w:rPr>
          <w:rFonts w:ascii="Times New Roman" w:hAnsi="Times New Roman" w:cs="Times New Roman"/>
          <w:b/>
          <w:sz w:val="28"/>
          <w:szCs w:val="28"/>
        </w:rPr>
      </w:pPr>
    </w:p>
    <w:p w:rsidR="00710C9D" w:rsidRPr="00710C9D" w:rsidRDefault="00710C9D" w:rsidP="00710C9D">
      <w:pPr>
        <w:spacing w:after="0" w:line="240" w:lineRule="auto"/>
        <w:rPr>
          <w:rFonts w:ascii="Times New Roman" w:eastAsia="Times New Roman" w:hAnsi="Times New Roman" w:cs="Times New Roman"/>
          <w:b/>
          <w:bCs/>
          <w:color w:val="FF0000"/>
          <w:sz w:val="28"/>
          <w:szCs w:val="28"/>
        </w:rPr>
      </w:pPr>
      <w:r w:rsidRPr="008E0758">
        <w:rPr>
          <w:rFonts w:ascii="Times New Roman" w:eastAsia="Times New Roman" w:hAnsi="Times New Roman" w:cs="Times New Roman"/>
          <w:b/>
          <w:bCs/>
          <w:color w:val="FF0000"/>
          <w:sz w:val="28"/>
          <w:szCs w:val="28"/>
          <w:highlight w:val="yellow"/>
        </w:rPr>
        <w:t xml:space="preserve">I. </w:t>
      </w:r>
      <w:r w:rsidRPr="00710C9D">
        <w:rPr>
          <w:rFonts w:ascii="Times New Roman" w:eastAsia="Times New Roman" w:hAnsi="Times New Roman" w:cs="Times New Roman"/>
          <w:b/>
          <w:bCs/>
          <w:color w:val="FF0000"/>
          <w:sz w:val="28"/>
          <w:szCs w:val="28"/>
          <w:highlight w:val="yellow"/>
        </w:rPr>
        <w:t xml:space="preserve">ANSM: Tránh sử dụng NSAID đầu </w:t>
      </w:r>
      <w:proofErr w:type="gramStart"/>
      <w:r w:rsidRPr="00710C9D">
        <w:rPr>
          <w:rFonts w:ascii="Times New Roman" w:eastAsia="Times New Roman" w:hAnsi="Times New Roman" w:cs="Times New Roman"/>
          <w:b/>
          <w:bCs/>
          <w:color w:val="FF0000"/>
          <w:sz w:val="28"/>
          <w:szCs w:val="28"/>
          <w:highlight w:val="yellow"/>
        </w:rPr>
        <w:t>tay</w:t>
      </w:r>
      <w:proofErr w:type="gramEnd"/>
      <w:r w:rsidRPr="00710C9D">
        <w:rPr>
          <w:rFonts w:ascii="Times New Roman" w:eastAsia="Times New Roman" w:hAnsi="Times New Roman" w:cs="Times New Roman"/>
          <w:b/>
          <w:bCs/>
          <w:color w:val="FF0000"/>
          <w:sz w:val="28"/>
          <w:szCs w:val="28"/>
          <w:highlight w:val="yellow"/>
        </w:rPr>
        <w:t xml:space="preserve"> trong điều trị triệu chứng của các bệnh lý nhiễm trùng thường gặp vào mùa đông</w:t>
      </w:r>
    </w:p>
    <w:p w:rsidR="00710C9D" w:rsidRPr="00710C9D" w:rsidRDefault="00710C9D" w:rsidP="008E0758">
      <w:pPr>
        <w:spacing w:after="0" w:line="240" w:lineRule="auto"/>
        <w:ind w:firstLine="720"/>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Trong trường hợp sốt hoặc đau liên quan đến các bệnh lý nhiễm trùng thường gặp vào mùa đông (như đau họng, viêm phế quản, nhiễm trùng tai,...), các thuốc kháng viêm không steroid (NSAID) như ibuprofen, ketoprofen có thể che giấu các triệu chứng của những nhiễm khuẩn do liên cầu khuẩn hay phế cầu khuẩn, dẫn đến chậm trễ điều trị các nhiễm trùng kể trên. Do đó, paracetamol là lựa chọn được ưu tiên trong các trường hợp này.</w:t>
      </w:r>
    </w:p>
    <w:p w:rsidR="00710C9D" w:rsidRPr="00710C9D" w:rsidRDefault="00710C9D" w:rsidP="008E0758">
      <w:pPr>
        <w:spacing w:after="0" w:line="240" w:lineRule="auto"/>
        <w:ind w:firstLine="720"/>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Bệnh lý nhiễm khuẩn do liên cầu khuẩn hoặc phế cầu khuẩn gây ra, dẫn đến các biến chứng nghiêm trọng: nhiễm khuẩn huyết, sốc nhiễm khuẩn, viêm màng não hoặc nhiễm trùng da nghiêm trọng. </w:t>
      </w:r>
      <w:proofErr w:type="gramStart"/>
      <w:r w:rsidRPr="00710C9D">
        <w:rPr>
          <w:rFonts w:ascii="Times New Roman" w:eastAsia="Times New Roman" w:hAnsi="Times New Roman" w:cs="Times New Roman"/>
          <w:color w:val="000000"/>
          <w:sz w:val="28"/>
          <w:szCs w:val="28"/>
        </w:rPr>
        <w:t>Dữ liệu đã ghi nhận 12 bệnh nhân tử vong, trong đó bao gồm cả trẻ em và thanh thiếu niên khỏe mạnh.</w:t>
      </w:r>
      <w:proofErr w:type="gramEnd"/>
      <w:r w:rsidRPr="00710C9D">
        <w:rPr>
          <w:rFonts w:ascii="Times New Roman" w:eastAsia="Times New Roman" w:hAnsi="Times New Roman" w:cs="Times New Roman"/>
          <w:color w:val="000000"/>
          <w:sz w:val="28"/>
          <w:szCs w:val="28"/>
        </w:rPr>
        <w:t xml:space="preserve"> Trong hầu hết các trường hợp, người bệnh đã dùng ibuprofen để điều trị các triệu chứng giống cúm hoặc nhiễm trùng </w:t>
      </w:r>
      <w:proofErr w:type="gramStart"/>
      <w:r w:rsidRPr="00710C9D">
        <w:rPr>
          <w:rFonts w:ascii="Times New Roman" w:eastAsia="Times New Roman" w:hAnsi="Times New Roman" w:cs="Times New Roman"/>
          <w:color w:val="000000"/>
          <w:sz w:val="28"/>
          <w:szCs w:val="28"/>
        </w:rPr>
        <w:t>tai</w:t>
      </w:r>
      <w:proofErr w:type="gramEnd"/>
      <w:r w:rsidRPr="00710C9D">
        <w:rPr>
          <w:rFonts w:ascii="Times New Roman" w:eastAsia="Times New Roman" w:hAnsi="Times New Roman" w:cs="Times New Roman"/>
          <w:color w:val="000000"/>
          <w:sz w:val="28"/>
          <w:szCs w:val="28"/>
        </w:rPr>
        <w:t xml:space="preserve"> mũi họng (viêm amidan, viêm tai giữa), hoặc ketoprofen để giảm đau (bong gân, đau khớp). Cơ quan Quản lý Dược phẩm và Sinh phẩm y tế Pháp (ANSM) thường xuyên ghi nhận được các báo cáo về tình trạng nhiễm khuẩn nghiêm trọng trên các bệnh nhân có sử dụng NSAID trong đợt nhiễm trùng. </w:t>
      </w:r>
      <w:proofErr w:type="gramStart"/>
      <w:r w:rsidRPr="00710C9D">
        <w:rPr>
          <w:rFonts w:ascii="Times New Roman" w:eastAsia="Times New Roman" w:hAnsi="Times New Roman" w:cs="Times New Roman"/>
          <w:color w:val="000000"/>
          <w:sz w:val="28"/>
          <w:szCs w:val="28"/>
        </w:rPr>
        <w:t>Cụ thể, từ ngày 01/01/2019 đến ngày 30/06/2023, 162 trường hợp nhiễm trùng nghiêm trọng được báo cáo tại Pháp liên quan đến ibuprofen và 54 trường hợp liên quan đến ketoprofen.</w:t>
      </w:r>
      <w:proofErr w:type="gramEnd"/>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Để giảm thiểu những nguy cơ này, paracetamol được khuyến cáo là lựa chọn đầu </w:t>
      </w:r>
      <w:proofErr w:type="gramStart"/>
      <w:r w:rsidRPr="00710C9D">
        <w:rPr>
          <w:rFonts w:ascii="Times New Roman" w:eastAsia="Times New Roman" w:hAnsi="Times New Roman" w:cs="Times New Roman"/>
          <w:color w:val="000000"/>
          <w:sz w:val="28"/>
          <w:szCs w:val="28"/>
        </w:rPr>
        <w:t>tay</w:t>
      </w:r>
      <w:proofErr w:type="gramEnd"/>
      <w:r w:rsidRPr="00710C9D">
        <w:rPr>
          <w:rFonts w:ascii="Times New Roman" w:eastAsia="Times New Roman" w:hAnsi="Times New Roman" w:cs="Times New Roman"/>
          <w:color w:val="000000"/>
          <w:sz w:val="28"/>
          <w:szCs w:val="28"/>
        </w:rPr>
        <w:t xml:space="preserve"> khi điều trị các triệu chứng sốt hoặc đau trong các bệnh nhiễm trùng thông thường (viêm amidan, viêm mũi họng, viêm xoang, viêm tai giữa, nhiễm trùng răng miệng hoặc da) hoặc các triệu chứng giống cúm hoặc thủy đậu. </w:t>
      </w:r>
      <w:proofErr w:type="gramStart"/>
      <w:r w:rsidRPr="00710C9D">
        <w:rPr>
          <w:rFonts w:ascii="Times New Roman" w:eastAsia="Times New Roman" w:hAnsi="Times New Roman" w:cs="Times New Roman"/>
          <w:color w:val="000000"/>
          <w:sz w:val="28"/>
          <w:szCs w:val="28"/>
        </w:rPr>
        <w:t>Thuốc chống viêm không steroid (NSAID) chỉ nên được sử dụng sau khi đã tham khảo ý kiến bác sĩ.</w:t>
      </w:r>
      <w:proofErr w:type="gramEnd"/>
    </w:p>
    <w:p w:rsidR="00710C9D" w:rsidRPr="00710C9D" w:rsidRDefault="00710C9D" w:rsidP="008E0758">
      <w:pPr>
        <w:spacing w:before="120" w:after="12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414141"/>
          <w:sz w:val="28"/>
          <w:szCs w:val="28"/>
        </w:rPr>
        <w:t> </w:t>
      </w:r>
      <w:r w:rsidRPr="008E0758">
        <w:rPr>
          <w:rFonts w:ascii="Times New Roman" w:eastAsia="Times New Roman" w:hAnsi="Times New Roman" w:cs="Times New Roman"/>
          <w:b/>
          <w:bCs/>
          <w:color w:val="000000"/>
          <w:sz w:val="28"/>
          <w:szCs w:val="28"/>
        </w:rPr>
        <w:t>Khuyến cáo dành cho bệnh nhân, người chăm sóc</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Sử dụng paracetamol liều thấp nhất có hiệu quả trong thời gian ngắn nhất có thể trong trường hợp cần hạ sốt hoặc giảm đau khi mắc các bệnh nhiễm trùng thông thường (viêm amidan, viêm mũi họng, viêm </w:t>
      </w:r>
      <w:proofErr w:type="gramStart"/>
      <w:r w:rsidRPr="00710C9D">
        <w:rPr>
          <w:rFonts w:ascii="Times New Roman" w:eastAsia="Times New Roman" w:hAnsi="Times New Roman" w:cs="Times New Roman"/>
          <w:color w:val="000000"/>
          <w:sz w:val="28"/>
          <w:szCs w:val="28"/>
        </w:rPr>
        <w:t>tai</w:t>
      </w:r>
      <w:proofErr w:type="gramEnd"/>
      <w:r w:rsidRPr="00710C9D">
        <w:rPr>
          <w:rFonts w:ascii="Times New Roman" w:eastAsia="Times New Roman" w:hAnsi="Times New Roman" w:cs="Times New Roman"/>
          <w:color w:val="000000"/>
          <w:sz w:val="28"/>
          <w:szCs w:val="28"/>
        </w:rPr>
        <w:t xml:space="preserve"> giữa, nhiễm trùng răng miệng hoặc da).</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Tránh sử dụng các thuốc NSAID (ibuprofen, ketoprofen</w:t>
      </w:r>
      <w:proofErr w:type="gramStart"/>
      <w:r w:rsidRPr="00710C9D">
        <w:rPr>
          <w:rFonts w:ascii="Times New Roman" w:eastAsia="Times New Roman" w:hAnsi="Times New Roman" w:cs="Times New Roman"/>
          <w:color w:val="000000"/>
          <w:sz w:val="28"/>
          <w:szCs w:val="28"/>
        </w:rPr>
        <w:t>,...</w:t>
      </w:r>
      <w:proofErr w:type="gramEnd"/>
      <w:r w:rsidRPr="00710C9D">
        <w:rPr>
          <w:rFonts w:ascii="Times New Roman" w:eastAsia="Times New Roman" w:hAnsi="Times New Roman" w:cs="Times New Roman"/>
          <w:color w:val="000000"/>
          <w:sz w:val="28"/>
          <w:szCs w:val="28"/>
        </w:rPr>
        <w:t>) khi có các triệu chứng nhiễm trùng (bao gồm các triệu chứng giống cúm, nhiễm trùng tai mũi họng, thủy đậu): sốt, ho, mệt mỏi, đau nhức.</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Tham khảo ý kiến bác sĩ trong các trường hợp:</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Có biểu hiên sốt hoặc đau trở nặng hoặc kéo dài: ở người lớn, kéo dài hơn 3 ngày với sốt hoặc 5 ngày nếu bị đau; ở trẻ em, thời gian có thể ngắn hơn với một số trường hợp nhất định.</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lastRenderedPageBreak/>
        <w:t>+ Đang sử dụng các thuốc NSAID để điều trị các bệnh viêm mạn tính (ví dụ: thấp khớp) hoặc lo ngại mắc các bệnh nhiễm trùng vào mùa đông, đặc biệt khi có dấu hiệu sốt.</w:t>
      </w:r>
    </w:p>
    <w:p w:rsidR="00710C9D" w:rsidRPr="00710C9D" w:rsidRDefault="00710C9D" w:rsidP="008E0758">
      <w:pPr>
        <w:spacing w:before="120" w:after="12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414141"/>
          <w:sz w:val="28"/>
          <w:szCs w:val="28"/>
        </w:rPr>
        <w:t> </w:t>
      </w:r>
      <w:r w:rsidRPr="008E0758">
        <w:rPr>
          <w:rFonts w:ascii="Times New Roman" w:eastAsia="Times New Roman" w:hAnsi="Times New Roman" w:cs="Times New Roman"/>
          <w:b/>
          <w:bCs/>
          <w:color w:val="000000"/>
          <w:sz w:val="28"/>
          <w:szCs w:val="28"/>
        </w:rPr>
        <w:t>Khuyến cáo dành cho bác sĩ:</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Điều trị paracetamol đầu </w:t>
      </w:r>
      <w:proofErr w:type="gramStart"/>
      <w:r w:rsidRPr="00710C9D">
        <w:rPr>
          <w:rFonts w:ascii="Times New Roman" w:eastAsia="Times New Roman" w:hAnsi="Times New Roman" w:cs="Times New Roman"/>
          <w:color w:val="000000"/>
          <w:sz w:val="28"/>
          <w:szCs w:val="28"/>
        </w:rPr>
        <w:t>tay</w:t>
      </w:r>
      <w:proofErr w:type="gramEnd"/>
      <w:r w:rsidRPr="00710C9D">
        <w:rPr>
          <w:rFonts w:ascii="Times New Roman" w:eastAsia="Times New Roman" w:hAnsi="Times New Roman" w:cs="Times New Roman"/>
          <w:color w:val="000000"/>
          <w:sz w:val="28"/>
          <w:szCs w:val="28"/>
        </w:rPr>
        <w:t xml:space="preserve"> khi bệnh nhân cần hạ sốt hoặc giảm đau, đặc biệt trong các trường hợp nhiễm trùng, với liều thấp nhất có hiệu quả trong thời gian ngắn nhất.</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Tránh kê đơn thuốc NSAID cho bệnh thủy đậu, cúm hoặc nhiễm trùng </w:t>
      </w:r>
      <w:proofErr w:type="gramStart"/>
      <w:r w:rsidRPr="00710C9D">
        <w:rPr>
          <w:rFonts w:ascii="Times New Roman" w:eastAsia="Times New Roman" w:hAnsi="Times New Roman" w:cs="Times New Roman"/>
          <w:color w:val="000000"/>
          <w:sz w:val="28"/>
          <w:szCs w:val="28"/>
        </w:rPr>
        <w:t>tai</w:t>
      </w:r>
      <w:proofErr w:type="gramEnd"/>
      <w:r w:rsidRPr="00710C9D">
        <w:rPr>
          <w:rFonts w:ascii="Times New Roman" w:eastAsia="Times New Roman" w:hAnsi="Times New Roman" w:cs="Times New Roman"/>
          <w:color w:val="000000"/>
          <w:sz w:val="28"/>
          <w:szCs w:val="28"/>
        </w:rPr>
        <w:t xml:space="preserve"> mũi họng chưa được xác nhận bằng các kết quả cận lâm sàng, do nguy cơ làm trầm trọng các bệnh nhiễm khuẩn tiềm ẩn, ngay cả trong quá trình điều trị bằng kháng sinh</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Tư vấn cho bệnh nhân về các dấu hiệu của biến chứng (sốt kéo dài, phát ban, khó thở) và cần tái khám ngay khi xuất hiện một trong các triệu chứng trên. Lưu ý kỹ với người bệnh về tầm quan trọng của tuân thủ liều lượng và thời gian điều trị đã được kê đơn.</w:t>
      </w:r>
    </w:p>
    <w:p w:rsidR="00710C9D" w:rsidRPr="00710C9D" w:rsidRDefault="00710C9D" w:rsidP="008E0758">
      <w:pPr>
        <w:spacing w:before="120" w:after="12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414141"/>
          <w:sz w:val="28"/>
          <w:szCs w:val="28"/>
        </w:rPr>
        <w:t> </w:t>
      </w:r>
      <w:r w:rsidRPr="008E0758">
        <w:rPr>
          <w:rFonts w:ascii="Times New Roman" w:eastAsia="Times New Roman" w:hAnsi="Times New Roman" w:cs="Times New Roman"/>
          <w:b/>
          <w:bCs/>
          <w:color w:val="000000"/>
          <w:sz w:val="28"/>
          <w:szCs w:val="28"/>
        </w:rPr>
        <w:t>Khuyến cáo dành cho dược sĩ:</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Tư vấn cho bệnh nhân dùng paracetamol đầu tiên khi sốt hoặc đau với liều thấp nhất có hiệu quả trong thời gian ngắn nhất có thể.</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Khuyến cáo bệnh nhân không tự ý dùng thuốc NSAID khi có các triệu chứng giống cúm, thủy đậu hoặc nhiễm trùng </w:t>
      </w:r>
      <w:proofErr w:type="gramStart"/>
      <w:r w:rsidRPr="00710C9D">
        <w:rPr>
          <w:rFonts w:ascii="Times New Roman" w:eastAsia="Times New Roman" w:hAnsi="Times New Roman" w:cs="Times New Roman"/>
          <w:color w:val="000000"/>
          <w:sz w:val="28"/>
          <w:szCs w:val="28"/>
        </w:rPr>
        <w:t>tai</w:t>
      </w:r>
      <w:proofErr w:type="gramEnd"/>
      <w:r w:rsidRPr="00710C9D">
        <w:rPr>
          <w:rFonts w:ascii="Times New Roman" w:eastAsia="Times New Roman" w:hAnsi="Times New Roman" w:cs="Times New Roman"/>
          <w:color w:val="000000"/>
          <w:sz w:val="28"/>
          <w:szCs w:val="28"/>
        </w:rPr>
        <w:t xml:space="preserve"> mũi họng</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Thông báo cho bệnh nhân về nguy cơ biến chứng bệnh nhiễm khuẩn tiềm ẩn do NSAID có thể che giấu các triệu chứng nhiễm trùng và trì hoãn thời gian điều trị kịp thời.</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Tư vấn bệnh nhân khám bác sĩ ngay khi sốt hoặc đau trở nặng hoặc kéo dài: ở người lớn, kéo dài hơn 3 ngày với sốt hoặc 5 ngày nếu bị đau; ở trẻ em, thời gian có thể ngắn hơn với một số trường hợp nhất định.</w:t>
      </w:r>
    </w:p>
    <w:p w:rsidR="008E0758" w:rsidRPr="008E0758" w:rsidRDefault="00710C9D" w:rsidP="008E0758">
      <w:pPr>
        <w:spacing w:after="0" w:line="240" w:lineRule="auto"/>
        <w:rPr>
          <w:rFonts w:ascii="Times New Roman" w:eastAsia="Times New Roman" w:hAnsi="Times New Roman" w:cs="Times New Roman"/>
          <w:b/>
          <w:bCs/>
          <w:color w:val="FF0000"/>
          <w:sz w:val="28"/>
          <w:szCs w:val="28"/>
        </w:rPr>
      </w:pPr>
      <w:r w:rsidRPr="008E0758">
        <w:rPr>
          <w:rFonts w:ascii="Times New Roman" w:hAnsi="Times New Roman" w:cs="Times New Roman"/>
          <w:b/>
          <w:color w:val="FF0000"/>
          <w:sz w:val="28"/>
          <w:szCs w:val="28"/>
          <w:highlight w:val="yellow"/>
        </w:rPr>
        <w:t>II.</w:t>
      </w:r>
      <w:r w:rsidRPr="008E0758">
        <w:rPr>
          <w:rFonts w:ascii="Times New Roman" w:hAnsi="Times New Roman" w:cs="Times New Roman"/>
          <w:b/>
          <w:bCs/>
          <w:color w:val="FF0000"/>
          <w:sz w:val="28"/>
          <w:szCs w:val="28"/>
          <w:highlight w:val="yellow"/>
        </w:rPr>
        <w:t xml:space="preserve"> </w:t>
      </w:r>
      <w:r w:rsidRPr="008E0758">
        <w:rPr>
          <w:rFonts w:ascii="Times New Roman" w:eastAsia="Times New Roman" w:hAnsi="Times New Roman" w:cs="Times New Roman"/>
          <w:b/>
          <w:bCs/>
          <w:color w:val="FF0000"/>
          <w:sz w:val="28"/>
          <w:szCs w:val="28"/>
          <w:highlight w:val="yellow"/>
        </w:rPr>
        <w:t xml:space="preserve">MHRA: Tăng cường cảnh báo liên quan đến nguy cơ nghiện, lệ thuộc thuốc, hội chứng </w:t>
      </w:r>
      <w:proofErr w:type="gramStart"/>
      <w:r w:rsidRPr="008E0758">
        <w:rPr>
          <w:rFonts w:ascii="Times New Roman" w:eastAsia="Times New Roman" w:hAnsi="Times New Roman" w:cs="Times New Roman"/>
          <w:b/>
          <w:bCs/>
          <w:color w:val="FF0000"/>
          <w:sz w:val="28"/>
          <w:szCs w:val="28"/>
          <w:highlight w:val="yellow"/>
        </w:rPr>
        <w:t>cai</w:t>
      </w:r>
      <w:proofErr w:type="gramEnd"/>
      <w:r w:rsidRPr="008E0758">
        <w:rPr>
          <w:rFonts w:ascii="Times New Roman" w:eastAsia="Times New Roman" w:hAnsi="Times New Roman" w:cs="Times New Roman"/>
          <w:b/>
          <w:bCs/>
          <w:color w:val="FF0000"/>
          <w:sz w:val="28"/>
          <w:szCs w:val="28"/>
          <w:highlight w:val="yellow"/>
        </w:rPr>
        <w:t xml:space="preserve"> thuốc và dung nạp thuốc khi </w:t>
      </w:r>
      <w:r w:rsidR="008E0758">
        <w:rPr>
          <w:rFonts w:ascii="Times New Roman" w:eastAsia="Times New Roman" w:hAnsi="Times New Roman" w:cs="Times New Roman"/>
          <w:b/>
          <w:bCs/>
          <w:color w:val="FF0000"/>
          <w:sz w:val="28"/>
          <w:szCs w:val="28"/>
          <w:highlight w:val="yellow"/>
        </w:rPr>
        <w:t xml:space="preserve">sử dụng gabapentin, pregabalin, </w:t>
      </w:r>
      <w:r w:rsidRPr="008E0758">
        <w:rPr>
          <w:rFonts w:ascii="Times New Roman" w:eastAsia="Times New Roman" w:hAnsi="Times New Roman" w:cs="Times New Roman"/>
          <w:b/>
          <w:bCs/>
          <w:color w:val="FF0000"/>
          <w:sz w:val="28"/>
          <w:szCs w:val="28"/>
          <w:highlight w:val="yellow"/>
        </w:rPr>
        <w:t>benzodiazepin và các thuốc Z</w:t>
      </w:r>
    </w:p>
    <w:p w:rsidR="00710C9D" w:rsidRPr="00710C9D" w:rsidRDefault="00710C9D" w:rsidP="008E0758">
      <w:pPr>
        <w:spacing w:after="0" w:line="240" w:lineRule="auto"/>
        <w:rPr>
          <w:rFonts w:ascii="Times New Roman" w:eastAsia="Times New Roman" w:hAnsi="Times New Roman" w:cs="Times New Roman"/>
          <w:b/>
          <w:bCs/>
          <w:color w:val="FF0000"/>
          <w:sz w:val="28"/>
          <w:szCs w:val="28"/>
        </w:rPr>
      </w:pPr>
      <w:r w:rsidRPr="00710C9D">
        <w:rPr>
          <w:rFonts w:ascii="Times New Roman" w:eastAsia="Times New Roman" w:hAnsi="Times New Roman" w:cs="Times New Roman"/>
          <w:b/>
          <w:bCs/>
          <w:color w:val="000000"/>
          <w:sz w:val="28"/>
          <w:szCs w:val="28"/>
        </w:rPr>
        <w:t>Bối cảnh</w:t>
      </w:r>
    </w:p>
    <w:p w:rsidR="00710C9D" w:rsidRPr="00710C9D" w:rsidRDefault="00710C9D" w:rsidP="008E0758">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Cơ quan Quản lý Dược phẩm Anh (MHRA) gần đây đã tiến hành đánh giá mức độ nhận thức của bệnh nhân</w:t>
      </w:r>
      <w:r w:rsidRPr="00710C9D">
        <w:rPr>
          <w:rFonts w:ascii="Times New Roman" w:eastAsia="Times New Roman" w:hAnsi="Times New Roman" w:cs="Times New Roman"/>
          <w:i/>
          <w:iCs/>
          <w:color w:val="000000"/>
          <w:sz w:val="28"/>
          <w:szCs w:val="28"/>
        </w:rPr>
        <w:t xml:space="preserve"> </w:t>
      </w:r>
      <w:r w:rsidRPr="00710C9D">
        <w:rPr>
          <w:rFonts w:ascii="Times New Roman" w:eastAsia="Times New Roman" w:hAnsi="Times New Roman" w:cs="Times New Roman"/>
          <w:color w:val="000000"/>
          <w:sz w:val="28"/>
          <w:szCs w:val="28"/>
        </w:rPr>
        <w:t>về nội dung các thông tin cảnh báo đối với một số nhóm thuốc có nguy cơ gây nghiện, lệ thuộc thuốc, từ đó cân nhắc những thay đổi khi cần thiết.</w:t>
      </w:r>
      <w:r w:rsidRPr="00710C9D">
        <w:rPr>
          <w:rFonts w:ascii="Times New Roman" w:eastAsia="Times New Roman" w:hAnsi="Times New Roman" w:cs="Times New Roman"/>
          <w:i/>
          <w:iCs/>
          <w:color w:val="000000"/>
          <w:sz w:val="28"/>
          <w:szCs w:val="28"/>
        </w:rPr>
        <w:t xml:space="preserve"> </w:t>
      </w:r>
      <w:proofErr w:type="gramStart"/>
      <w:r w:rsidRPr="00710C9D">
        <w:rPr>
          <w:rFonts w:ascii="Times New Roman" w:eastAsia="Times New Roman" w:hAnsi="Times New Roman" w:cs="Times New Roman"/>
          <w:color w:val="000000"/>
          <w:sz w:val="28"/>
          <w:szCs w:val="28"/>
        </w:rPr>
        <w:t>Hai giai đoạn đầu của đánh giá này tập trung vào các thuốc gabapentin, pregabalin, benzodiazepin và thuốc Z (các thuốc ngủ mạnh có tên bắt đầu bằng chữ Z).</w:t>
      </w:r>
      <w:proofErr w:type="gramEnd"/>
      <w:r w:rsidRPr="00710C9D">
        <w:rPr>
          <w:rFonts w:ascii="Times New Roman" w:eastAsia="Times New Roman" w:hAnsi="Times New Roman" w:cs="Times New Roman"/>
          <w:color w:val="000000"/>
          <w:sz w:val="28"/>
          <w:szCs w:val="28"/>
        </w:rPr>
        <w:t xml:space="preserve"> Phạm vi đánh giá giới hạn ở việc xem xét các cảnh báo hiện có trong thông tin sản phẩm và trên bao bì thuốc, không bao gồm các đánh giá chi tiết về hiệu quả, liều lượng và chỉ định. MHRA cũng đánh giá trên các nguồn dữ liệu như: báo cáo tự nguyện về phản ứng có hại từ các chuyên gia y tế và cộng đồng, dữ liệu từ các nhà sản xuất, các cơ quan quản lý khác trên thế giới, thử nghiệm lâm sàng, kinh nghiệm thực tế và ý kiến của các hiệp hội chuyên môn và chuyên gia y tế trong các lĩnh vực liên quan.</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Sau khi đánh giá, MHRA, Ủy ban về thuốc cho người (CHMP) và các nhóm chuyên gia độc lập (PEAG,</w:t>
      </w:r>
      <w:r w:rsidRPr="00710C9D">
        <w:rPr>
          <w:rFonts w:ascii="Times New Roman" w:eastAsia="Times New Roman" w:hAnsi="Times New Roman" w:cs="Times New Roman"/>
          <w:i/>
          <w:iCs/>
          <w:color w:val="000000"/>
          <w:sz w:val="28"/>
          <w:szCs w:val="28"/>
        </w:rPr>
        <w:t xml:space="preserve"> </w:t>
      </w:r>
      <w:r w:rsidRPr="00710C9D">
        <w:rPr>
          <w:rFonts w:ascii="Times New Roman" w:eastAsia="Times New Roman" w:hAnsi="Times New Roman" w:cs="Times New Roman"/>
          <w:color w:val="000000"/>
          <w:sz w:val="28"/>
          <w:szCs w:val="28"/>
        </w:rPr>
        <w:t xml:space="preserve">NPPEAG) đồng thuận rằng nội dung cảnh báo hiện tại trên bao bì và thông tin sản phẩm chưa truyền đạt đầy đủ mức độ nguy cơ của dung nạp, lệ thuộc, </w:t>
      </w:r>
      <w:r w:rsidRPr="00710C9D">
        <w:rPr>
          <w:rFonts w:ascii="Times New Roman" w:eastAsia="Times New Roman" w:hAnsi="Times New Roman" w:cs="Times New Roman"/>
          <w:color w:val="000000"/>
          <w:sz w:val="28"/>
          <w:szCs w:val="28"/>
        </w:rPr>
        <w:lastRenderedPageBreak/>
        <w:t>nghiện và hội chứng cai thuốc đối với các thuốc gabapentin, pregabalin, benzodiazepin và thuốc Z. Do đó, cần thiết phải sửa đổi cách diễn đạt để phản ánh đầy đủ các dữ liệu giám sát hậu mãi, nhằm giúp người bệnh nắm được đầy đủ về các nguy cơ này trước khi bắt đầu sử dụng hoặc ngừng thuốc khi cần thiết. </w:t>
      </w:r>
    </w:p>
    <w:p w:rsidR="00710C9D" w:rsidRPr="00710C9D" w:rsidRDefault="00710C9D" w:rsidP="008E0758">
      <w:pPr>
        <w:spacing w:after="0" w:line="240" w:lineRule="auto"/>
        <w:rPr>
          <w:rFonts w:ascii="Times New Roman" w:eastAsia="Times New Roman" w:hAnsi="Times New Roman" w:cs="Times New Roman"/>
          <w:color w:val="414141"/>
          <w:sz w:val="28"/>
          <w:szCs w:val="28"/>
        </w:rPr>
      </w:pPr>
      <w:r w:rsidRPr="00710C9D">
        <w:rPr>
          <w:rFonts w:ascii="Times New Roman" w:eastAsia="Times New Roman" w:hAnsi="Times New Roman" w:cs="Times New Roman"/>
          <w:b/>
          <w:bCs/>
          <w:color w:val="000000"/>
          <w:sz w:val="28"/>
          <w:szCs w:val="28"/>
        </w:rPr>
        <w:t xml:space="preserve">Nguy cơ gây nghiện, lệ thuộc, hội chứng </w:t>
      </w:r>
      <w:proofErr w:type="gramStart"/>
      <w:r w:rsidRPr="00710C9D">
        <w:rPr>
          <w:rFonts w:ascii="Times New Roman" w:eastAsia="Times New Roman" w:hAnsi="Times New Roman" w:cs="Times New Roman"/>
          <w:b/>
          <w:bCs/>
          <w:color w:val="000000"/>
          <w:sz w:val="28"/>
          <w:szCs w:val="28"/>
        </w:rPr>
        <w:t>cai</w:t>
      </w:r>
      <w:proofErr w:type="gramEnd"/>
      <w:r w:rsidRPr="00710C9D">
        <w:rPr>
          <w:rFonts w:ascii="Times New Roman" w:eastAsia="Times New Roman" w:hAnsi="Times New Roman" w:cs="Times New Roman"/>
          <w:b/>
          <w:bCs/>
          <w:color w:val="000000"/>
          <w:sz w:val="28"/>
          <w:szCs w:val="28"/>
        </w:rPr>
        <w:t xml:space="preserve"> thuốc và dung nạp thuốc</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proofErr w:type="gramStart"/>
      <w:r w:rsidRPr="00710C9D">
        <w:rPr>
          <w:rFonts w:ascii="Times New Roman" w:eastAsia="Times New Roman" w:hAnsi="Times New Roman" w:cs="Times New Roman"/>
          <w:color w:val="000000"/>
          <w:sz w:val="28"/>
          <w:szCs w:val="28"/>
        </w:rPr>
        <w:t>Đối với tất cả bệnh nhân, nguy cơ nghiện và lệ thuộc thuốc xảy ra khi sử dụng các thuốc này kéo dài.</w:t>
      </w:r>
      <w:proofErr w:type="gramEnd"/>
      <w:r w:rsidRPr="00710C9D">
        <w:rPr>
          <w:rFonts w:ascii="Times New Roman" w:eastAsia="Times New Roman" w:hAnsi="Times New Roman" w:cs="Times New Roman"/>
          <w:color w:val="000000"/>
          <w:sz w:val="28"/>
          <w:szCs w:val="28"/>
        </w:rPr>
        <w:t xml:space="preserve"> </w:t>
      </w:r>
      <w:proofErr w:type="gramStart"/>
      <w:r w:rsidRPr="00710C9D">
        <w:rPr>
          <w:rFonts w:ascii="Times New Roman" w:eastAsia="Times New Roman" w:hAnsi="Times New Roman" w:cs="Times New Roman"/>
          <w:color w:val="000000"/>
          <w:sz w:val="28"/>
          <w:szCs w:val="28"/>
        </w:rPr>
        <w:t>tuy</w:t>
      </w:r>
      <w:proofErr w:type="gramEnd"/>
      <w:r w:rsidRPr="00710C9D">
        <w:rPr>
          <w:rFonts w:ascii="Times New Roman" w:eastAsia="Times New Roman" w:hAnsi="Times New Roman" w:cs="Times New Roman"/>
          <w:color w:val="000000"/>
          <w:sz w:val="28"/>
          <w:szCs w:val="28"/>
        </w:rPr>
        <w:t xml:space="preserve"> nhiên tình trạng này cũng có thể gặp ngay cả khi sử dụng trong thời gian ngắn ở ngay mức liều khuyến cáo. Nguy cơ này tăng lên ở những người đang hoặc từng có tiền sử lạm dụng các chất gây nghiện (bao gồm nghiện rượu) hoặc rối loạn tâm thần (trầm cảm). Có mối liên quan giữa nghiện và lệ thuộc thuốc, đặc trưng với một số biểu hiện lâm sàng riêng biệt. </w:t>
      </w:r>
      <w:proofErr w:type="gramStart"/>
      <w:r w:rsidRPr="00710C9D">
        <w:rPr>
          <w:rFonts w:ascii="Times New Roman" w:eastAsia="Times New Roman" w:hAnsi="Times New Roman" w:cs="Times New Roman"/>
          <w:color w:val="000000"/>
          <w:sz w:val="28"/>
          <w:szCs w:val="28"/>
        </w:rPr>
        <w:t>Nhân viên y tế cần lưu ý tầm quan trọng của việc sử dụng từ ngữ phù hợp.</w:t>
      </w:r>
      <w:proofErr w:type="gramEnd"/>
      <w:r w:rsidRPr="00710C9D">
        <w:rPr>
          <w:rFonts w:ascii="Times New Roman" w:eastAsia="Times New Roman" w:hAnsi="Times New Roman" w:cs="Times New Roman"/>
          <w:color w:val="000000"/>
          <w:sz w:val="28"/>
          <w:szCs w:val="28"/>
        </w:rPr>
        <w:t xml:space="preserve"> Cần </w:t>
      </w:r>
      <w:proofErr w:type="gramStart"/>
      <w:r w:rsidRPr="00710C9D">
        <w:rPr>
          <w:rFonts w:ascii="Times New Roman" w:eastAsia="Times New Roman" w:hAnsi="Times New Roman" w:cs="Times New Roman"/>
          <w:color w:val="000000"/>
          <w:sz w:val="28"/>
          <w:szCs w:val="28"/>
        </w:rPr>
        <w:t>theo</w:t>
      </w:r>
      <w:proofErr w:type="gramEnd"/>
      <w:r w:rsidRPr="00710C9D">
        <w:rPr>
          <w:rFonts w:ascii="Times New Roman" w:eastAsia="Times New Roman" w:hAnsi="Times New Roman" w:cs="Times New Roman"/>
          <w:color w:val="000000"/>
          <w:sz w:val="28"/>
          <w:szCs w:val="28"/>
        </w:rPr>
        <w:t xml:space="preserve"> dõi chặt chẽ các dấu hiệu của việc lạm dụng thuốc, sử dụng thuốc không phù hợp về chỉ định hoặc nghiện thuốc trên tất cả bệnh nhân.</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Biểu hiện nghiện và lạm dụng thuốc bao gồm:</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Thèm thuốc, ngay cả khi thuốc đang gây các phản ứng bất lợi</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Nhu cầu sử dụng tăng (ví dụ: yêu cầu cấp lại đơn thuốc sớm hơn, báo cáo việc sử dụng thêm các loại thuốc tương tự)</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Sử dụng thuốc cho mục đích khác ngoài chỉ định được cấp phép</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Xuất hiện tác dụng không mong muốn khi ngừng thuốc đột ngột</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414141"/>
          <w:sz w:val="28"/>
          <w:szCs w:val="28"/>
        </w:rPr>
        <w:t> </w:t>
      </w:r>
      <w:r w:rsidRPr="00710C9D">
        <w:rPr>
          <w:rFonts w:ascii="Times New Roman" w:eastAsia="Times New Roman" w:hAnsi="Times New Roman" w:cs="Times New Roman"/>
          <w:b/>
          <w:bCs/>
          <w:color w:val="000000"/>
          <w:sz w:val="28"/>
          <w:szCs w:val="28"/>
        </w:rPr>
        <w:t>Kế hoạch giảm liều thuốc trên bệnh nhân</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Hội chứng cai thuốc có thể xảy ra khi ngừng hoặc giảm liều thuốc đột ngột, do đó cần tư vấn bệnh nhân về kế hoạch giảm liều khi kết thúc điều trị với gabapentin, pregabalin, benzodiazepin và các thuốc Z. Ngoại trừ một số tình huống ngoại lệ, như kiểm soát triệu chứng trong chăm sóc giảm nhẹ giai đoạn cuối đời hoặc điều trị động kinh.</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Giảm liều cần được cá nhân hóa cho từng bệnh nhân và cần điều trị các triệu chứng </w:t>
      </w:r>
      <w:proofErr w:type="gramStart"/>
      <w:r w:rsidRPr="00710C9D">
        <w:rPr>
          <w:rFonts w:ascii="Times New Roman" w:eastAsia="Times New Roman" w:hAnsi="Times New Roman" w:cs="Times New Roman"/>
          <w:color w:val="000000"/>
          <w:sz w:val="28"/>
          <w:szCs w:val="28"/>
        </w:rPr>
        <w:t>cai</w:t>
      </w:r>
      <w:proofErr w:type="gramEnd"/>
      <w:r w:rsidRPr="00710C9D">
        <w:rPr>
          <w:rFonts w:ascii="Times New Roman" w:eastAsia="Times New Roman" w:hAnsi="Times New Roman" w:cs="Times New Roman"/>
          <w:color w:val="000000"/>
          <w:sz w:val="28"/>
          <w:szCs w:val="28"/>
        </w:rPr>
        <w:t xml:space="preserve"> nghiện trước trước khi tiếp tục giảm liều. Việc giảm liều hay ngừng thuốc cần điều chỉnh linh hoạt để phù hợp với từng bệnh nhân và thay đổi trong từng hoàn cảnh và đáp ứng của bệnh nhân với việc giảm liều.</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proofErr w:type="gramStart"/>
      <w:r w:rsidRPr="00710C9D">
        <w:rPr>
          <w:rFonts w:ascii="Times New Roman" w:eastAsia="Times New Roman" w:hAnsi="Times New Roman" w:cs="Times New Roman"/>
          <w:color w:val="000000"/>
          <w:sz w:val="28"/>
          <w:szCs w:val="28"/>
        </w:rPr>
        <w:t>Nếu bệnh nhân đang sử dụng đồng thời nhiều loại thuốc gây nghiện, lệ thuộc thuốc, cần xác định loại thuốc sẽ được giảm liều trước.</w:t>
      </w:r>
      <w:proofErr w:type="gramEnd"/>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Nếu bệnh nhân xuất hiện các hội chứng </w:t>
      </w:r>
      <w:proofErr w:type="gramStart"/>
      <w:r w:rsidRPr="00710C9D">
        <w:rPr>
          <w:rFonts w:ascii="Times New Roman" w:eastAsia="Times New Roman" w:hAnsi="Times New Roman" w:cs="Times New Roman"/>
          <w:color w:val="000000"/>
          <w:sz w:val="28"/>
          <w:szCs w:val="28"/>
        </w:rPr>
        <w:t>cai</w:t>
      </w:r>
      <w:proofErr w:type="gramEnd"/>
      <w:r w:rsidRPr="00710C9D">
        <w:rPr>
          <w:rFonts w:ascii="Times New Roman" w:eastAsia="Times New Roman" w:hAnsi="Times New Roman" w:cs="Times New Roman"/>
          <w:color w:val="000000"/>
          <w:sz w:val="28"/>
          <w:szCs w:val="28"/>
        </w:rPr>
        <w:t xml:space="preserve"> thuốc nghiêm trọng, cân nhắc tạm dừng việc giảm liều hoặc tăng trở lại mức liều đã giảm trước đó.</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414141"/>
          <w:sz w:val="28"/>
          <w:szCs w:val="28"/>
        </w:rPr>
        <w:t> </w:t>
      </w:r>
      <w:r w:rsidRPr="00710C9D">
        <w:rPr>
          <w:rFonts w:ascii="Times New Roman" w:eastAsia="Times New Roman" w:hAnsi="Times New Roman" w:cs="Times New Roman"/>
          <w:b/>
          <w:bCs/>
          <w:color w:val="000000"/>
          <w:sz w:val="28"/>
          <w:szCs w:val="28"/>
        </w:rPr>
        <w:t>Khuyến cáo dành cho các nhân viên y tế:</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Các thuốc gabapentin, pregabalin, benzodiazepin và thuốc Z được sử dụng để điều trị nhiều bệnh lý khác nhau (đau thần kinh, lo âu và mất ngủ) có nguy cơ gây nghiện, lệ thuộc, hội chứng </w:t>
      </w:r>
      <w:proofErr w:type="gramStart"/>
      <w:r w:rsidRPr="00710C9D">
        <w:rPr>
          <w:rFonts w:ascii="Times New Roman" w:eastAsia="Times New Roman" w:hAnsi="Times New Roman" w:cs="Times New Roman"/>
          <w:color w:val="000000"/>
          <w:sz w:val="28"/>
          <w:szCs w:val="28"/>
        </w:rPr>
        <w:t>cai</w:t>
      </w:r>
      <w:proofErr w:type="gramEnd"/>
      <w:r w:rsidRPr="00710C9D">
        <w:rPr>
          <w:rFonts w:ascii="Times New Roman" w:eastAsia="Times New Roman" w:hAnsi="Times New Roman" w:cs="Times New Roman"/>
          <w:color w:val="000000"/>
          <w:sz w:val="28"/>
          <w:szCs w:val="28"/>
        </w:rPr>
        <w:t xml:space="preserve"> thuốc và dung nạp thuốc.</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MHRA sẽ cập nhật để tăng cường cảnh báo về nguy cơ này trong thông tin sản phẩm, bao bì của các chế phẩm chứa gabapentin, pregabalin, benzodiazepin và thuốc Z.</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Trước khi điều trị, cần tư vấn bệnh nhân về các chiến lược giảm hoặc ngừng điều trị.</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lastRenderedPageBreak/>
        <w:t>- Giải thích cho bệnh nhân về tình trạng dung nạp thuốc trong trường hợp bệnh nhân nhận thấy hiệu quả điều trị giảm khi sử dụng kéo dài và yêu cầu tăng liều để đạt tác dụng như ban đầu.</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Cảnh báo bệnh nhân về nguy cơ xảy ra hội chứng </w:t>
      </w:r>
      <w:proofErr w:type="gramStart"/>
      <w:r w:rsidRPr="00710C9D">
        <w:rPr>
          <w:rFonts w:ascii="Times New Roman" w:eastAsia="Times New Roman" w:hAnsi="Times New Roman" w:cs="Times New Roman"/>
          <w:color w:val="000000"/>
          <w:sz w:val="28"/>
          <w:szCs w:val="28"/>
        </w:rPr>
        <w:t>cai</w:t>
      </w:r>
      <w:proofErr w:type="gramEnd"/>
      <w:r w:rsidRPr="00710C9D">
        <w:rPr>
          <w:rFonts w:ascii="Times New Roman" w:eastAsia="Times New Roman" w:hAnsi="Times New Roman" w:cs="Times New Roman"/>
          <w:color w:val="000000"/>
          <w:sz w:val="28"/>
          <w:szCs w:val="28"/>
        </w:rPr>
        <w:t xml:space="preserve"> thuốc khi giảm liều hoặc ngừng đột ngột. Nhấn mạnh tầm quan trọng của kế hoạch giảm liều từ từ trong việc giảm thiểu các triệu chứng </w:t>
      </w:r>
      <w:proofErr w:type="gramStart"/>
      <w:r w:rsidRPr="00710C9D">
        <w:rPr>
          <w:rFonts w:ascii="Times New Roman" w:eastAsia="Times New Roman" w:hAnsi="Times New Roman" w:cs="Times New Roman"/>
          <w:color w:val="000000"/>
          <w:sz w:val="28"/>
          <w:szCs w:val="28"/>
        </w:rPr>
        <w:t>cai</w:t>
      </w:r>
      <w:proofErr w:type="gramEnd"/>
      <w:r w:rsidRPr="00710C9D">
        <w:rPr>
          <w:rFonts w:ascii="Times New Roman" w:eastAsia="Times New Roman" w:hAnsi="Times New Roman" w:cs="Times New Roman"/>
          <w:color w:val="000000"/>
          <w:sz w:val="28"/>
          <w:szCs w:val="28"/>
        </w:rPr>
        <w:t xml:space="preserve"> thuốc, đồng thời khuyến khích bệnh nhân tích cực trao đổi về giảm liều trước khi ngừng thuốc.</w:t>
      </w:r>
    </w:p>
    <w:p w:rsidR="00710C9D" w:rsidRPr="00710C9D" w:rsidRDefault="00710C9D" w:rsidP="00710C9D">
      <w:pPr>
        <w:spacing w:after="0" w:line="240" w:lineRule="auto"/>
        <w:jc w:val="both"/>
        <w:rPr>
          <w:rFonts w:ascii="Times New Roman" w:eastAsia="Times New Roman" w:hAnsi="Times New Roman" w:cs="Times New Roman"/>
          <w:color w:val="414141"/>
          <w:sz w:val="28"/>
          <w:szCs w:val="28"/>
        </w:rPr>
      </w:pPr>
      <w:r w:rsidRPr="00710C9D">
        <w:rPr>
          <w:rFonts w:ascii="Times New Roman" w:eastAsia="Times New Roman" w:hAnsi="Times New Roman" w:cs="Times New Roman"/>
          <w:color w:val="000000"/>
          <w:sz w:val="28"/>
          <w:szCs w:val="28"/>
        </w:rPr>
        <w:t xml:space="preserve">- Có chiến lược </w:t>
      </w:r>
      <w:proofErr w:type="gramStart"/>
      <w:r w:rsidRPr="00710C9D">
        <w:rPr>
          <w:rFonts w:ascii="Times New Roman" w:eastAsia="Times New Roman" w:hAnsi="Times New Roman" w:cs="Times New Roman"/>
          <w:color w:val="000000"/>
          <w:sz w:val="28"/>
          <w:szCs w:val="28"/>
        </w:rPr>
        <w:t>theo</w:t>
      </w:r>
      <w:proofErr w:type="gramEnd"/>
      <w:r w:rsidRPr="00710C9D">
        <w:rPr>
          <w:rFonts w:ascii="Times New Roman" w:eastAsia="Times New Roman" w:hAnsi="Times New Roman" w:cs="Times New Roman"/>
          <w:color w:val="000000"/>
          <w:sz w:val="28"/>
          <w:szCs w:val="28"/>
        </w:rPr>
        <w:t xml:space="preserve"> dõi và xử trí, đặc biệt những đối tượng nguy cơ cao mắc hội chứng cai thuốc như bệnh nhân đang hoặc có tiền sử lạm dụng các chất gây nghiện (bao gồm nghiện rượu) hoặc rối loạn tâm thần.</w:t>
      </w:r>
    </w:p>
    <w:p w:rsidR="008E0758" w:rsidRDefault="00710C9D" w:rsidP="008E0758">
      <w:pPr>
        <w:spacing w:after="0" w:line="240" w:lineRule="auto"/>
        <w:rPr>
          <w:rFonts w:ascii="Times New Roman" w:eastAsia="Times New Roman" w:hAnsi="Times New Roman" w:cs="Times New Roman"/>
          <w:b/>
          <w:bCs/>
          <w:color w:val="FF0000"/>
          <w:sz w:val="28"/>
          <w:szCs w:val="28"/>
        </w:rPr>
      </w:pPr>
      <w:r w:rsidRPr="008E0758">
        <w:rPr>
          <w:rFonts w:ascii="Times New Roman" w:hAnsi="Times New Roman" w:cs="Times New Roman"/>
          <w:b/>
          <w:color w:val="FF0000"/>
          <w:sz w:val="28"/>
          <w:szCs w:val="28"/>
          <w:highlight w:val="yellow"/>
        </w:rPr>
        <w:t>III.</w:t>
      </w:r>
      <w:r w:rsidR="0053002F" w:rsidRPr="008E0758">
        <w:rPr>
          <w:rFonts w:ascii="Times New Roman" w:hAnsi="Times New Roman" w:cs="Times New Roman"/>
          <w:b/>
          <w:bCs/>
          <w:color w:val="FF0000"/>
          <w:sz w:val="28"/>
          <w:szCs w:val="28"/>
          <w:highlight w:val="yellow"/>
        </w:rPr>
        <w:t xml:space="preserve"> </w:t>
      </w:r>
      <w:r w:rsidR="0053002F" w:rsidRPr="008E0758">
        <w:rPr>
          <w:rFonts w:ascii="Times New Roman" w:eastAsia="Times New Roman" w:hAnsi="Times New Roman" w:cs="Times New Roman"/>
          <w:b/>
          <w:bCs/>
          <w:color w:val="FF0000"/>
          <w:sz w:val="28"/>
          <w:szCs w:val="28"/>
          <w:highlight w:val="yellow"/>
        </w:rPr>
        <w:t>FDA: Loại bỏ cảnh báo về nguy cơ rối loạn tâm thần liên quan đến các thuốc chủ vận thụ thể GLP-1</w:t>
      </w:r>
    </w:p>
    <w:p w:rsidR="0053002F" w:rsidRPr="0053002F" w:rsidRDefault="0053002F" w:rsidP="008E0758">
      <w:pPr>
        <w:spacing w:after="0" w:line="240" w:lineRule="auto"/>
        <w:ind w:firstLine="720"/>
        <w:rPr>
          <w:rFonts w:ascii="Times New Roman" w:eastAsia="Times New Roman" w:hAnsi="Times New Roman" w:cs="Times New Roman"/>
          <w:b/>
          <w:bCs/>
          <w:color w:val="FF0000"/>
          <w:sz w:val="28"/>
          <w:szCs w:val="28"/>
        </w:rPr>
      </w:pPr>
      <w:proofErr w:type="gramStart"/>
      <w:r w:rsidRPr="0053002F">
        <w:rPr>
          <w:rFonts w:ascii="Times New Roman" w:eastAsia="Times New Roman" w:hAnsi="Times New Roman" w:cs="Times New Roman"/>
          <w:color w:val="000000"/>
          <w:sz w:val="28"/>
          <w:szCs w:val="28"/>
        </w:rPr>
        <w:t>Thuốc chủ vận thụ thể GLP-1 (GLP-1 RA) là nhóm thuốc có tác dụng tương tự một hormon tự nhiên của cơ thể là peptid giống glucagon-1 (GLP-1) được tiết ra từ ruột.</w:t>
      </w:r>
      <w:proofErr w:type="gramEnd"/>
      <w:r w:rsidRPr="0053002F">
        <w:rPr>
          <w:rFonts w:ascii="Times New Roman" w:eastAsia="Times New Roman" w:hAnsi="Times New Roman" w:cs="Times New Roman"/>
          <w:color w:val="000000"/>
          <w:sz w:val="28"/>
          <w:szCs w:val="28"/>
        </w:rPr>
        <w:t xml:space="preserve"> Thuốc chủ vận thụ thể GLP-1 có tác dụng giảm nồng độ đường trong máu sau khi </w:t>
      </w:r>
      <w:proofErr w:type="gramStart"/>
      <w:r w:rsidRPr="0053002F">
        <w:rPr>
          <w:rFonts w:ascii="Times New Roman" w:eastAsia="Times New Roman" w:hAnsi="Times New Roman" w:cs="Times New Roman"/>
          <w:color w:val="000000"/>
          <w:sz w:val="28"/>
          <w:szCs w:val="28"/>
        </w:rPr>
        <w:t>ăn</w:t>
      </w:r>
      <w:proofErr w:type="gramEnd"/>
      <w:r w:rsidRPr="0053002F">
        <w:rPr>
          <w:rFonts w:ascii="Times New Roman" w:eastAsia="Times New Roman" w:hAnsi="Times New Roman" w:cs="Times New Roman"/>
          <w:color w:val="000000"/>
          <w:sz w:val="28"/>
          <w:szCs w:val="28"/>
        </w:rPr>
        <w:t xml:space="preserve"> và giúp kiểm soát sự thèm ăn và lượng thức ăn nạp vào cơ thể. Năm 2005, Cơ quan Quản lý Thực phẩm và Dược phẩm Hoa Kỳ (FDA) cấp phép cho thuốc đầu tiên trong nhóm thuốc này với chỉ định là liệu pháp bổ trợ nhằm cải thiện kiểm soát đường huyết ở bệnh nhân đái tháo đường type 2.</w:t>
      </w:r>
    </w:p>
    <w:p w:rsidR="0053002F" w:rsidRPr="0053002F" w:rsidRDefault="0053002F" w:rsidP="008E0758">
      <w:pPr>
        <w:spacing w:after="0" w:line="240" w:lineRule="auto"/>
        <w:rPr>
          <w:rFonts w:ascii="Times New Roman" w:eastAsia="Times New Roman" w:hAnsi="Times New Roman" w:cs="Times New Roman"/>
          <w:color w:val="414141"/>
          <w:sz w:val="28"/>
          <w:szCs w:val="28"/>
        </w:rPr>
      </w:pPr>
      <w:r w:rsidRPr="0053002F">
        <w:rPr>
          <w:rFonts w:ascii="Times New Roman" w:eastAsia="Times New Roman" w:hAnsi="Times New Roman" w:cs="Times New Roman"/>
          <w:b/>
          <w:bCs/>
          <w:color w:val="000000"/>
          <w:sz w:val="28"/>
          <w:szCs w:val="28"/>
        </w:rPr>
        <w:t>Rối loạn tâm thần và các thuốc chủ vận thụ thể GLP-1</w:t>
      </w:r>
    </w:p>
    <w:p w:rsidR="0053002F" w:rsidRPr="0053002F" w:rsidRDefault="0053002F" w:rsidP="008E0758">
      <w:pPr>
        <w:spacing w:after="0" w:line="240" w:lineRule="auto"/>
        <w:ind w:firstLine="720"/>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000000"/>
          <w:sz w:val="28"/>
          <w:szCs w:val="28"/>
        </w:rPr>
        <w:t xml:space="preserve">Thông tin sản phẩm thuốc chủ vận GLP-1 đã được phê duyệt có chứa thông tin trong mục </w:t>
      </w:r>
      <w:r w:rsidRPr="008E0758">
        <w:rPr>
          <w:rFonts w:ascii="Times New Roman" w:eastAsia="Times New Roman" w:hAnsi="Times New Roman" w:cs="Times New Roman"/>
          <w:i/>
          <w:iCs/>
          <w:color w:val="000000"/>
          <w:sz w:val="28"/>
          <w:szCs w:val="28"/>
        </w:rPr>
        <w:t>Cảnh báo và Thận trọng</w:t>
      </w:r>
      <w:r w:rsidRPr="0053002F">
        <w:rPr>
          <w:rFonts w:ascii="Times New Roman" w:eastAsia="Times New Roman" w:hAnsi="Times New Roman" w:cs="Times New Roman"/>
          <w:color w:val="000000"/>
          <w:sz w:val="28"/>
          <w:szCs w:val="28"/>
        </w:rPr>
        <w:t xml:space="preserve"> về nguy cơ tiềm ẩn rối loạn tâm thần (như có ý định và hành </w:t>
      </w:r>
      <w:proofErr w:type="gramStart"/>
      <w:r w:rsidRPr="0053002F">
        <w:rPr>
          <w:rFonts w:ascii="Times New Roman" w:eastAsia="Times New Roman" w:hAnsi="Times New Roman" w:cs="Times New Roman"/>
          <w:color w:val="000000"/>
          <w:sz w:val="28"/>
          <w:szCs w:val="28"/>
        </w:rPr>
        <w:t>vi</w:t>
      </w:r>
      <w:proofErr w:type="gramEnd"/>
      <w:r w:rsidRPr="0053002F">
        <w:rPr>
          <w:rFonts w:ascii="Times New Roman" w:eastAsia="Times New Roman" w:hAnsi="Times New Roman" w:cs="Times New Roman"/>
          <w:color w:val="000000"/>
          <w:sz w:val="28"/>
          <w:szCs w:val="28"/>
        </w:rPr>
        <w:t xml:space="preserve"> tự sát). Các thông tin cảnh báo này cũng có trong thông tin sản phẩm của các loại thuốc giảm cân khác do ghi nhận được các báo cáo về các biến cố này đối với nhiều loại thuốc được sử dụng hoặc nghiên cứu cho mục đính giảm cân trước đây.    </w:t>
      </w:r>
    </w:p>
    <w:p w:rsidR="0053002F" w:rsidRPr="0053002F" w:rsidRDefault="0053002F" w:rsidP="008E0758">
      <w:pPr>
        <w:spacing w:before="60" w:after="60" w:line="240" w:lineRule="auto"/>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414141"/>
          <w:sz w:val="28"/>
          <w:szCs w:val="28"/>
        </w:rPr>
        <w:t> </w:t>
      </w:r>
      <w:r w:rsidR="008E0758">
        <w:rPr>
          <w:rFonts w:ascii="Times New Roman" w:eastAsia="Times New Roman" w:hAnsi="Times New Roman" w:cs="Times New Roman"/>
          <w:color w:val="414141"/>
          <w:sz w:val="28"/>
          <w:szCs w:val="28"/>
        </w:rPr>
        <w:tab/>
      </w:r>
      <w:r w:rsidRPr="0053002F">
        <w:rPr>
          <w:rFonts w:ascii="Times New Roman" w:eastAsia="Times New Roman" w:hAnsi="Times New Roman" w:cs="Times New Roman"/>
          <w:color w:val="000000"/>
          <w:sz w:val="28"/>
          <w:szCs w:val="28"/>
        </w:rPr>
        <w:t xml:space="preserve">Tháng 07/2023, sau khi nhận được các báo cáo hậu mãi về biến cố rối loạn tâm thần ở sau khi sử dụng GLP-1, FDA đã tiến hành đánh giá về mối liên quan thuốc và biến cố này dựa trên các thử nghiệm lâm sàng và dữ liệu hậu mãi (bao gồm các nghiên cứu quan sát, báo cáo ca bệnh). Kết quả đánh giá ban đầu cho thấy chưa tìm thấy mối liên quan giữa việc sử dụng GLP-1 và sự xuất hiện của các ý định hay hành </w:t>
      </w:r>
      <w:proofErr w:type="gramStart"/>
      <w:r w:rsidRPr="0053002F">
        <w:rPr>
          <w:rFonts w:ascii="Times New Roman" w:eastAsia="Times New Roman" w:hAnsi="Times New Roman" w:cs="Times New Roman"/>
          <w:color w:val="000000"/>
          <w:sz w:val="28"/>
          <w:szCs w:val="28"/>
        </w:rPr>
        <w:t>vi</w:t>
      </w:r>
      <w:proofErr w:type="gramEnd"/>
      <w:r w:rsidRPr="0053002F">
        <w:rPr>
          <w:rFonts w:ascii="Times New Roman" w:eastAsia="Times New Roman" w:hAnsi="Times New Roman" w:cs="Times New Roman"/>
          <w:color w:val="000000"/>
          <w:sz w:val="28"/>
          <w:szCs w:val="28"/>
        </w:rPr>
        <w:t xml:space="preserve"> tự sát trên bệnh nhân. Tuy nhiên, do số lượng báo cáo được ghi nhận trong các thử nghiệm riêng lẻ còn ít, do đó, ước tính nguy cơ chưa chắc chắn. Để khắc phục nhược điểm này, FDA đã thực hiện một nghiên cứu phân tích gộp toàn diện dựa trên các thử nghiệm lâm sàng trong quá trình phát triển thuốc GLP-1 để ước tính nguy cơ. </w:t>
      </w:r>
      <w:proofErr w:type="gramStart"/>
      <w:r w:rsidRPr="0053002F">
        <w:rPr>
          <w:rFonts w:ascii="Times New Roman" w:eastAsia="Times New Roman" w:hAnsi="Times New Roman" w:cs="Times New Roman"/>
          <w:color w:val="000000"/>
          <w:sz w:val="28"/>
          <w:szCs w:val="28"/>
        </w:rPr>
        <w:t>Phân tích gộp này đánh giá nguy cơ rối loạn tâm thần giữa các GLP-1 so với giả dược.</w:t>
      </w:r>
      <w:proofErr w:type="gramEnd"/>
      <w:r w:rsidRPr="0053002F">
        <w:rPr>
          <w:rFonts w:ascii="Times New Roman" w:eastAsia="Times New Roman" w:hAnsi="Times New Roman" w:cs="Times New Roman"/>
          <w:color w:val="000000"/>
          <w:sz w:val="28"/>
          <w:szCs w:val="28"/>
        </w:rPr>
        <w:t xml:space="preserve"> 91 thử nghiệm lâm sàng có đối chứng được đưa vào phân tích gộp, bao gồm 107.910 bệnh nhân (60.338 bệnh nhân được điều trị bằng GLP-1 RA và 47.572 bệnh nhân được điều trị bằng giả dược). Kết quả cho thấy GLP-1 không gây gia tăng nguy cơ xuất hiện ý định, hành vi tự sát hoặc các rối loạn tâm thần khác như lo âu, trầm cảm, cáu </w:t>
      </w:r>
      <w:proofErr w:type="gramStart"/>
      <w:r w:rsidRPr="0053002F">
        <w:rPr>
          <w:rFonts w:ascii="Times New Roman" w:eastAsia="Times New Roman" w:hAnsi="Times New Roman" w:cs="Times New Roman"/>
          <w:color w:val="000000"/>
          <w:sz w:val="28"/>
          <w:szCs w:val="28"/>
        </w:rPr>
        <w:t>gắt, …..</w:t>
      </w:r>
      <w:proofErr w:type="gramEnd"/>
      <w:r w:rsidRPr="0053002F">
        <w:rPr>
          <w:rFonts w:ascii="Times New Roman" w:eastAsia="Times New Roman" w:hAnsi="Times New Roman" w:cs="Times New Roman"/>
          <w:color w:val="000000"/>
          <w:sz w:val="28"/>
          <w:szCs w:val="28"/>
        </w:rPr>
        <w:t>    </w:t>
      </w:r>
    </w:p>
    <w:p w:rsidR="0053002F" w:rsidRPr="0053002F" w:rsidRDefault="0053002F" w:rsidP="0053002F">
      <w:pPr>
        <w:spacing w:before="60" w:after="60" w:line="240" w:lineRule="auto"/>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414141"/>
          <w:sz w:val="28"/>
          <w:szCs w:val="28"/>
        </w:rPr>
        <w:t> </w:t>
      </w:r>
    </w:p>
    <w:p w:rsidR="0053002F" w:rsidRPr="0053002F" w:rsidRDefault="0053002F" w:rsidP="008E0758">
      <w:pPr>
        <w:spacing w:after="0" w:line="240" w:lineRule="auto"/>
        <w:ind w:firstLine="720"/>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000000"/>
          <w:sz w:val="28"/>
          <w:szCs w:val="28"/>
        </w:rPr>
        <w:lastRenderedPageBreak/>
        <w:t xml:space="preserve">Ngoài ra, FDA đã tiến hành một nghiên cứu đoàn hệ hồi cứu sử dụng dữ liệu từ Hệ thống giám sát an toàn thuốc và vắc xin sau lưu hành của Hoa Kỳ (Hệ thống Sentinel) để so sánh nguy cơ tự gây thương tích giữa nhóm bệnh nhân mới sử dụng thuốc chủ vận thụ thể GLP-1 và nhóm sử dụng thuốc ức chế đồng chủ vận natri-glucose 2 (SGLT2i). </w:t>
      </w:r>
      <w:proofErr w:type="gramStart"/>
      <w:r w:rsidRPr="0053002F">
        <w:rPr>
          <w:rFonts w:ascii="Times New Roman" w:eastAsia="Times New Roman" w:hAnsi="Times New Roman" w:cs="Times New Roman"/>
          <w:color w:val="000000"/>
          <w:sz w:val="28"/>
          <w:szCs w:val="28"/>
        </w:rPr>
        <w:t>Quần thể nghiên cứu bao gồm 2.243.138 bệnh nhân đái tháo đường týp 2 (1.161.983 bệnh nhân sử dụng GLP-1 và 1.081.155 bệnh nhân sử dụng SGLT2i) trong giai đoạn từ ngày 01/10/2015 đến ngày 20/09/2023.</w:t>
      </w:r>
      <w:proofErr w:type="gramEnd"/>
      <w:r w:rsidRPr="0053002F">
        <w:rPr>
          <w:rFonts w:ascii="Times New Roman" w:eastAsia="Times New Roman" w:hAnsi="Times New Roman" w:cs="Times New Roman"/>
          <w:color w:val="000000"/>
          <w:sz w:val="28"/>
          <w:szCs w:val="28"/>
        </w:rPr>
        <w:t xml:space="preserve"> </w:t>
      </w:r>
      <w:proofErr w:type="gramStart"/>
      <w:r w:rsidRPr="0053002F">
        <w:rPr>
          <w:rFonts w:ascii="Times New Roman" w:eastAsia="Times New Roman" w:hAnsi="Times New Roman" w:cs="Times New Roman"/>
          <w:color w:val="000000"/>
          <w:sz w:val="28"/>
          <w:szCs w:val="28"/>
        </w:rPr>
        <w:t>Sau khi loại bỏ các các yếu tố nhiễu trong nghiên cứu, FDA kết luận các thuốc chủ vận GLP-1 không làm tăng nguy cơ tự gây thương tích so với các thuốc SGLT2i.</w:t>
      </w:r>
      <w:proofErr w:type="gramEnd"/>
      <w:r w:rsidRPr="0053002F">
        <w:rPr>
          <w:rFonts w:ascii="Times New Roman" w:eastAsia="Times New Roman" w:hAnsi="Times New Roman" w:cs="Times New Roman"/>
          <w:color w:val="000000"/>
          <w:sz w:val="28"/>
          <w:szCs w:val="28"/>
        </w:rPr>
        <w:t xml:space="preserve"> </w:t>
      </w:r>
      <w:proofErr w:type="gramStart"/>
      <w:r w:rsidRPr="0053002F">
        <w:rPr>
          <w:rFonts w:ascii="Times New Roman" w:eastAsia="Times New Roman" w:hAnsi="Times New Roman" w:cs="Times New Roman"/>
          <w:color w:val="000000"/>
          <w:sz w:val="28"/>
          <w:szCs w:val="28"/>
        </w:rPr>
        <w:t>Tương tự, FDA cũng không tìm thấy nguy cơ tăng lên ở phân nhóm bệnh nhân mắc đồng thời bệnh đái tháo đường týp 2 và béo phì.</w:t>
      </w:r>
      <w:proofErr w:type="gramEnd"/>
      <w:r w:rsidRPr="0053002F">
        <w:rPr>
          <w:rFonts w:ascii="Times New Roman" w:eastAsia="Times New Roman" w:hAnsi="Times New Roman" w:cs="Times New Roman"/>
          <w:color w:val="000000"/>
          <w:sz w:val="28"/>
          <w:szCs w:val="28"/>
        </w:rPr>
        <w:t>    </w:t>
      </w:r>
    </w:p>
    <w:p w:rsidR="0053002F" w:rsidRPr="0053002F" w:rsidRDefault="0053002F" w:rsidP="008E0758">
      <w:pPr>
        <w:spacing w:before="60" w:after="60" w:line="240" w:lineRule="auto"/>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414141"/>
          <w:sz w:val="28"/>
          <w:szCs w:val="28"/>
        </w:rPr>
        <w:t> </w:t>
      </w:r>
      <w:r w:rsidR="008E0758">
        <w:rPr>
          <w:rFonts w:ascii="Times New Roman" w:eastAsia="Times New Roman" w:hAnsi="Times New Roman" w:cs="Times New Roman"/>
          <w:color w:val="414141"/>
          <w:sz w:val="28"/>
          <w:szCs w:val="28"/>
        </w:rPr>
        <w:tab/>
      </w:r>
      <w:r w:rsidRPr="0053002F">
        <w:rPr>
          <w:rFonts w:ascii="Times New Roman" w:eastAsia="Times New Roman" w:hAnsi="Times New Roman" w:cs="Times New Roman"/>
          <w:color w:val="000000"/>
          <w:sz w:val="28"/>
          <w:szCs w:val="28"/>
        </w:rPr>
        <w:t xml:space="preserve">FDA cũng đã đánh giá các nghiên cứu quan sát và nghiên cứu gộp hiện có nhằm đánh giá mối quan hệ nhân quả giữa thuốc chủ vận thụ thể GLP-1 và nguy cơ xuất hiện ý định hoặc hành </w:t>
      </w:r>
      <w:proofErr w:type="gramStart"/>
      <w:r w:rsidRPr="0053002F">
        <w:rPr>
          <w:rFonts w:ascii="Times New Roman" w:eastAsia="Times New Roman" w:hAnsi="Times New Roman" w:cs="Times New Roman"/>
          <w:color w:val="000000"/>
          <w:sz w:val="28"/>
          <w:szCs w:val="28"/>
        </w:rPr>
        <w:t>vi</w:t>
      </w:r>
      <w:proofErr w:type="gramEnd"/>
      <w:r w:rsidRPr="0053002F">
        <w:rPr>
          <w:rFonts w:ascii="Times New Roman" w:eastAsia="Times New Roman" w:hAnsi="Times New Roman" w:cs="Times New Roman"/>
          <w:color w:val="000000"/>
          <w:sz w:val="28"/>
          <w:szCs w:val="28"/>
        </w:rPr>
        <w:t xml:space="preserve"> tự sát. </w:t>
      </w:r>
      <w:proofErr w:type="gramStart"/>
      <w:r w:rsidRPr="0053002F">
        <w:rPr>
          <w:rFonts w:ascii="Times New Roman" w:eastAsia="Times New Roman" w:hAnsi="Times New Roman" w:cs="Times New Roman"/>
          <w:color w:val="000000"/>
          <w:sz w:val="28"/>
          <w:szCs w:val="28"/>
        </w:rPr>
        <w:t>Kết quả cho thấy toàn bộ các dữ liệu nghiên cứu này không ủng hộ cho mối quan hệ nhân quả giữa thuốc và biến cố bất lợi này.</w:t>
      </w:r>
      <w:proofErr w:type="gramEnd"/>
      <w:r w:rsidRPr="0053002F">
        <w:rPr>
          <w:rFonts w:ascii="Times New Roman" w:eastAsia="Times New Roman" w:hAnsi="Times New Roman" w:cs="Times New Roman"/>
          <w:color w:val="000000"/>
          <w:sz w:val="28"/>
          <w:szCs w:val="28"/>
        </w:rPr>
        <w:t xml:space="preserve"> Do đó, FDA yêu cầu nhà sản xuất loại bỏ thông tin liên quan đến nguy cơ xuất hiện ý định, hành vi tự sát khỏi thông tin sản phẩm của các thuốc GLP-1 hiện đang lưu hành như Saxenda (liraglutide), Wegovy (semaglutide) và Zepbound (tirzepatide).</w:t>
      </w:r>
    </w:p>
    <w:p w:rsidR="0053002F" w:rsidRPr="0053002F" w:rsidRDefault="0053002F" w:rsidP="008E0758">
      <w:pPr>
        <w:spacing w:after="0" w:line="240" w:lineRule="auto"/>
        <w:rPr>
          <w:rFonts w:ascii="Times New Roman" w:eastAsia="Times New Roman" w:hAnsi="Times New Roman" w:cs="Times New Roman"/>
          <w:color w:val="414141"/>
          <w:sz w:val="28"/>
          <w:szCs w:val="28"/>
        </w:rPr>
      </w:pPr>
      <w:r w:rsidRPr="0053002F">
        <w:rPr>
          <w:rFonts w:ascii="Times New Roman" w:eastAsia="Times New Roman" w:hAnsi="Times New Roman" w:cs="Times New Roman"/>
          <w:b/>
          <w:bCs/>
          <w:color w:val="000000"/>
          <w:sz w:val="28"/>
          <w:szCs w:val="28"/>
        </w:rPr>
        <w:t>Khuyến cáo dành cho nhân viên y tế</w:t>
      </w:r>
    </w:p>
    <w:p w:rsidR="0053002F" w:rsidRPr="0053002F" w:rsidRDefault="0053002F" w:rsidP="0053002F">
      <w:pPr>
        <w:spacing w:after="0" w:line="240" w:lineRule="auto"/>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000000"/>
          <w:sz w:val="28"/>
          <w:szCs w:val="28"/>
        </w:rPr>
        <w:t>- FDA không tìm thấy sự gia tăng của nguy cơ xuất hiện ý định hoặc hành vi tự sát sau khi sử dụng thuốc chủ vận thụ thể GLP-1 dựa trên một đánh giá toàn diện từ tất cả các dữ liệu hiện có.</w:t>
      </w:r>
    </w:p>
    <w:p w:rsidR="0053002F" w:rsidRPr="0053002F" w:rsidRDefault="0053002F" w:rsidP="0053002F">
      <w:pPr>
        <w:spacing w:after="0" w:line="240" w:lineRule="auto"/>
        <w:jc w:val="both"/>
        <w:rPr>
          <w:rFonts w:ascii="Times New Roman" w:eastAsia="Times New Roman" w:hAnsi="Times New Roman" w:cs="Times New Roman"/>
          <w:color w:val="414141"/>
          <w:sz w:val="28"/>
          <w:szCs w:val="28"/>
        </w:rPr>
      </w:pPr>
      <w:r w:rsidRPr="0053002F">
        <w:rPr>
          <w:rFonts w:ascii="Times New Roman" w:eastAsia="Times New Roman" w:hAnsi="Times New Roman" w:cs="Times New Roman"/>
          <w:color w:val="000000"/>
          <w:sz w:val="28"/>
          <w:szCs w:val="28"/>
        </w:rPr>
        <w:t xml:space="preserve">- FDA sẽ yêu cầu loại bỏ nội dung cảnh báo này trong mục </w:t>
      </w:r>
      <w:r w:rsidRPr="008E0758">
        <w:rPr>
          <w:rFonts w:ascii="Times New Roman" w:eastAsia="Times New Roman" w:hAnsi="Times New Roman" w:cs="Times New Roman"/>
          <w:i/>
          <w:iCs/>
          <w:color w:val="000000"/>
          <w:sz w:val="28"/>
          <w:szCs w:val="28"/>
        </w:rPr>
        <w:t>Cảnh báo và Thận trọng</w:t>
      </w:r>
      <w:r w:rsidRPr="0053002F">
        <w:rPr>
          <w:rFonts w:ascii="Times New Roman" w:eastAsia="Times New Roman" w:hAnsi="Times New Roman" w:cs="Times New Roman"/>
          <w:color w:val="000000"/>
          <w:sz w:val="28"/>
          <w:szCs w:val="28"/>
        </w:rPr>
        <w:t xml:space="preserve"> đối với các chế phẩm thuốc GLP-1 đang lưu hành, từ đó, đảm bảo nhất quán về thông tin an toàn trong toàn bộ thông tin sản phẩm của các chế phẩm này</w:t>
      </w:r>
    </w:p>
    <w:p w:rsidR="00253AA9" w:rsidRPr="008E0758" w:rsidRDefault="0053002F" w:rsidP="008E0758">
      <w:pPr>
        <w:spacing w:after="0" w:line="240" w:lineRule="auto"/>
        <w:jc w:val="both"/>
        <w:rPr>
          <w:rFonts w:ascii="Times New Roman" w:eastAsia="Times New Roman" w:hAnsi="Times New Roman" w:cs="Times New Roman"/>
          <w:color w:val="414141"/>
          <w:sz w:val="18"/>
          <w:szCs w:val="18"/>
        </w:rPr>
      </w:pPr>
      <w:r w:rsidRPr="0053002F">
        <w:rPr>
          <w:rFonts w:ascii="Times New Roman" w:eastAsia="Times New Roman" w:hAnsi="Times New Roman" w:cs="Times New Roman"/>
          <w:color w:val="000000"/>
          <w:sz w:val="28"/>
          <w:szCs w:val="28"/>
        </w:rPr>
        <w:t xml:space="preserve">- Đối với các trường hợp bệnh nhân có xuất hiện ý định tự sát/hành </w:t>
      </w:r>
      <w:proofErr w:type="gramStart"/>
      <w:r w:rsidRPr="0053002F">
        <w:rPr>
          <w:rFonts w:ascii="Times New Roman" w:eastAsia="Times New Roman" w:hAnsi="Times New Roman" w:cs="Times New Roman"/>
          <w:color w:val="000000"/>
          <w:sz w:val="28"/>
          <w:szCs w:val="28"/>
        </w:rPr>
        <w:t>vi</w:t>
      </w:r>
      <w:proofErr w:type="gramEnd"/>
      <w:r w:rsidRPr="0053002F">
        <w:rPr>
          <w:rFonts w:ascii="Times New Roman" w:eastAsia="Times New Roman" w:hAnsi="Times New Roman" w:cs="Times New Roman"/>
          <w:color w:val="000000"/>
          <w:sz w:val="28"/>
          <w:szCs w:val="28"/>
        </w:rPr>
        <w:t xml:space="preserve"> tự sát, khuyến cáo bệnh nhân thăm khám chuyên khoa tâm thần để được đánh giá.</w:t>
      </w:r>
    </w:p>
    <w:p w:rsidR="004C6AB2" w:rsidRPr="008E0758" w:rsidRDefault="00B12F8E" w:rsidP="00913253">
      <w:pPr>
        <w:shd w:val="clear" w:color="auto" w:fill="FFFFFF"/>
        <w:spacing w:after="0" w:line="240" w:lineRule="auto"/>
        <w:jc w:val="both"/>
        <w:rPr>
          <w:rFonts w:ascii="Times New Roman" w:eastAsia="Times New Roman" w:hAnsi="Times New Roman" w:cs="Times New Roman"/>
          <w:sz w:val="28"/>
          <w:szCs w:val="28"/>
        </w:rPr>
      </w:pPr>
      <w:bookmarkStart w:id="0" w:name="_GoBack"/>
      <w:bookmarkEnd w:id="0"/>
      <w:r w:rsidRPr="008E0758">
        <w:rPr>
          <w:rFonts w:ascii="Times New Roman" w:hAnsi="Times New Roman" w:cs="Times New Roman"/>
          <w:i/>
          <w:sz w:val="28"/>
          <w:szCs w:val="28"/>
          <w:lang w:val="vi-VN"/>
        </w:rPr>
        <w:t>Nguồn: canhgiacduoc</w:t>
      </w:r>
    </w:p>
    <w:p w:rsidR="00AE6FD9" w:rsidRPr="008E0758" w:rsidRDefault="00AE6FD9" w:rsidP="00913253">
      <w:pPr>
        <w:shd w:val="clear" w:color="auto" w:fill="FFFFFF"/>
        <w:spacing w:after="0" w:line="240" w:lineRule="auto"/>
        <w:ind w:left="5040" w:firstLine="720"/>
        <w:jc w:val="both"/>
        <w:rPr>
          <w:rFonts w:ascii="Times New Roman" w:hAnsi="Times New Roman" w:cs="Times New Roman"/>
          <w:b/>
          <w:sz w:val="28"/>
          <w:szCs w:val="28"/>
        </w:rPr>
      </w:pPr>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p>
    <w:sectPr w:rsidR="00A033E8" w:rsidRPr="008E0758" w:rsidSect="00425B82">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88" w:rsidRDefault="00812888" w:rsidP="006645AB">
      <w:pPr>
        <w:spacing w:after="0" w:line="240" w:lineRule="auto"/>
      </w:pPr>
      <w:r>
        <w:separator/>
      </w:r>
    </w:p>
  </w:endnote>
  <w:endnote w:type="continuationSeparator" w:id="0">
    <w:p w:rsidR="00812888" w:rsidRDefault="00812888"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8E0758">
          <w:rPr>
            <w:noProof/>
          </w:rPr>
          <w:t>5</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88" w:rsidRDefault="00812888" w:rsidP="006645AB">
      <w:pPr>
        <w:spacing w:after="0" w:line="240" w:lineRule="auto"/>
      </w:pPr>
      <w:r>
        <w:separator/>
      </w:r>
    </w:p>
  </w:footnote>
  <w:footnote w:type="continuationSeparator" w:id="0">
    <w:p w:rsidR="00812888" w:rsidRDefault="00812888"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41298"/>
    <w:rsid w:val="00365AA9"/>
    <w:rsid w:val="00386112"/>
    <w:rsid w:val="00394C30"/>
    <w:rsid w:val="0039605C"/>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6DD6"/>
    <w:rsid w:val="005A736D"/>
    <w:rsid w:val="005C1892"/>
    <w:rsid w:val="005D4146"/>
    <w:rsid w:val="00611457"/>
    <w:rsid w:val="00616A77"/>
    <w:rsid w:val="00647B2E"/>
    <w:rsid w:val="006645AB"/>
    <w:rsid w:val="006737C0"/>
    <w:rsid w:val="006843A0"/>
    <w:rsid w:val="00685301"/>
    <w:rsid w:val="0070727E"/>
    <w:rsid w:val="00710C9D"/>
    <w:rsid w:val="00725083"/>
    <w:rsid w:val="0076029D"/>
    <w:rsid w:val="0076514E"/>
    <w:rsid w:val="00773810"/>
    <w:rsid w:val="00792F41"/>
    <w:rsid w:val="007A4AFE"/>
    <w:rsid w:val="007A60A4"/>
    <w:rsid w:val="007C2300"/>
    <w:rsid w:val="00812888"/>
    <w:rsid w:val="00833F0D"/>
    <w:rsid w:val="008731FE"/>
    <w:rsid w:val="00891971"/>
    <w:rsid w:val="008B1E25"/>
    <w:rsid w:val="008B3222"/>
    <w:rsid w:val="008C0EE0"/>
    <w:rsid w:val="008D1E85"/>
    <w:rsid w:val="008E0758"/>
    <w:rsid w:val="008F5FDE"/>
    <w:rsid w:val="009059A9"/>
    <w:rsid w:val="00913253"/>
    <w:rsid w:val="00922A6B"/>
    <w:rsid w:val="009532CD"/>
    <w:rsid w:val="00964C01"/>
    <w:rsid w:val="009E5A26"/>
    <w:rsid w:val="009F5F93"/>
    <w:rsid w:val="00A033E8"/>
    <w:rsid w:val="00AC3F1A"/>
    <w:rsid w:val="00AE6FD9"/>
    <w:rsid w:val="00B05CB1"/>
    <w:rsid w:val="00B12F8E"/>
    <w:rsid w:val="00B50A11"/>
    <w:rsid w:val="00B561FE"/>
    <w:rsid w:val="00B74538"/>
    <w:rsid w:val="00B81B37"/>
    <w:rsid w:val="00C05B8B"/>
    <w:rsid w:val="00C12063"/>
    <w:rsid w:val="00C1592A"/>
    <w:rsid w:val="00C21CD5"/>
    <w:rsid w:val="00C3464F"/>
    <w:rsid w:val="00C459C7"/>
    <w:rsid w:val="00C46400"/>
    <w:rsid w:val="00C54770"/>
    <w:rsid w:val="00C75D27"/>
    <w:rsid w:val="00CF000F"/>
    <w:rsid w:val="00D16336"/>
    <w:rsid w:val="00D33566"/>
    <w:rsid w:val="00D66F52"/>
    <w:rsid w:val="00D9199D"/>
    <w:rsid w:val="00D95F96"/>
    <w:rsid w:val="00DA21CD"/>
    <w:rsid w:val="00E216C2"/>
    <w:rsid w:val="00E83F4B"/>
    <w:rsid w:val="00E84163"/>
    <w:rsid w:val="00E86628"/>
    <w:rsid w:val="00E9235A"/>
    <w:rsid w:val="00E95064"/>
    <w:rsid w:val="00E960FE"/>
    <w:rsid w:val="00EC0B4A"/>
    <w:rsid w:val="00F44F44"/>
    <w:rsid w:val="00F51A86"/>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1674</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534</cp:revision>
  <cp:lastPrinted>2025-10-24T08:45:00Z</cp:lastPrinted>
  <dcterms:created xsi:type="dcterms:W3CDTF">2024-09-25T08:15:00Z</dcterms:created>
  <dcterms:modified xsi:type="dcterms:W3CDTF">2026-01-30T08:02:00Z</dcterms:modified>
</cp:coreProperties>
</file>